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6B" w:rsidRDefault="00447013" w:rsidP="00CF3E26">
      <w:pPr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b/>
          <w:color w:val="000000" w:themeColor="text1"/>
          <w:sz w:val="24"/>
          <w:szCs w:val="24"/>
        </w:rPr>
        <w:t>REFORMA DE ESTATUTOS</w:t>
      </w:r>
    </w:p>
    <w:p w:rsidR="00447013" w:rsidRDefault="00447013" w:rsidP="00CF3E26">
      <w:pPr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447013" w:rsidRDefault="00447013" w:rsidP="00CF3E26">
      <w:pPr>
        <w:rPr>
          <w:rFonts w:ascii="Arial Narrow" w:hAnsi="Arial Narrow"/>
          <w:color w:val="000000" w:themeColor="text1"/>
          <w:sz w:val="24"/>
          <w:szCs w:val="24"/>
        </w:rPr>
      </w:pPr>
      <w:r w:rsidRPr="00447013">
        <w:rPr>
          <w:rFonts w:ascii="Arial Narrow" w:hAnsi="Arial Narrow"/>
          <w:color w:val="000000" w:themeColor="text1"/>
          <w:sz w:val="24"/>
          <w:szCs w:val="24"/>
        </w:rPr>
        <w:t>Con</w:t>
      </w:r>
      <w:r>
        <w:rPr>
          <w:rFonts w:ascii="Arial Narrow" w:hAnsi="Arial Narrow"/>
          <w:color w:val="000000" w:themeColor="text1"/>
          <w:sz w:val="24"/>
          <w:szCs w:val="24"/>
        </w:rPr>
        <w:t>stituye reforma estatutaria, toda modificación al contrato de sociedad, decisión que debe ser aprobada por el máximo órgano social con la mayoría prevista en los estatutos o en la ley (art. 111, 158, 166 y 360 del código de comercio).</w:t>
      </w:r>
    </w:p>
    <w:p w:rsidR="00447013" w:rsidRDefault="00447013" w:rsidP="00447013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Toda reforma del contrato de  sociedad deberá hacerse mediante escritura pública (sociedades constituidas antes de la expedición de la ley 1014 de 2006 y su decreto reglamentario DR 4463 de 2006 y la aparición de las sociedades por acciones simplificada ley 1258 de 2008) </w:t>
      </w:r>
    </w:p>
    <w:p w:rsidR="00447013" w:rsidRDefault="00447013" w:rsidP="00447013">
      <w:pPr>
        <w:ind w:left="360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Si la sociedad se constituyó bajo la ley 1014 de 2006, o se trata de una sociedad por acciones simplificada tenga en cuenta:</w:t>
      </w:r>
    </w:p>
    <w:p w:rsidR="00447013" w:rsidRDefault="00447013" w:rsidP="00447013">
      <w:pPr>
        <w:pStyle w:val="Prrafodelista"/>
        <w:numPr>
          <w:ilvl w:val="0"/>
          <w:numId w:val="4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La reforma a los estatutos podrá constar en documento privado o por acta suscrita por presidente y secretario, con diligencia de presentación personal ante un funcionario autorizado en la cámara de comercio, o diligencia de presentación personal y reconocimiento de contenido ante juez o notario. </w:t>
      </w:r>
    </w:p>
    <w:p w:rsidR="00447013" w:rsidRDefault="00447013" w:rsidP="00447013">
      <w:pPr>
        <w:pStyle w:val="Prrafodelista"/>
        <w:numPr>
          <w:ilvl w:val="0"/>
          <w:numId w:val="4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Adicionalmente, se deberá indicar expresamente que en la sociedad cumple con al menos  uno de los requisitos a que se refiere el art. 22 de la ley 1014 de 2006, que cuenta con diez (10) o menos trabajadores con activos totales, por valor inferior a quinientos (550) salarios mínimos legales mensuales vigentes. </w:t>
      </w:r>
    </w:p>
    <w:p w:rsidR="006454D6" w:rsidRDefault="006454D6" w:rsidP="006454D6">
      <w:pPr>
        <w:pStyle w:val="Prrafodelista"/>
        <w:numPr>
          <w:ilvl w:val="0"/>
          <w:numId w:val="3"/>
        </w:numPr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Registro de la escritura de reforma: una vez elaborada la escritura pública o el documento de reforma deberá inscribirse en el registro mercantil de la cámara de comercio. </w:t>
      </w:r>
    </w:p>
    <w:p w:rsidR="006454D6" w:rsidRDefault="006454D6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Recuerde: el registro debe hacerlo en cámara de comercio con jurisdicción en el lugar donde la sociedad tenga su domicilio principal. Cuando se fijan otros domicilios o se abren sucursales, dicha escritura o documento de reforma deberá ser registrada en la cámara de comercio que correspondan a los lugares de dichas sucursales, salvo que pertenezcan a la misma jurisdicción de la cámara del domicilio principal.</w:t>
      </w:r>
    </w:p>
    <w:p w:rsidR="006454D6" w:rsidRDefault="006454D6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6454D6" w:rsidRDefault="006454D6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CESION DE CUOTAS: en sociedades colectivas, de responsabilidad limitada y en comandita simple, además de los requisitos anteriores deberá cumplir con las siguientes condiciones: </w:t>
      </w:r>
    </w:p>
    <w:p w:rsidR="006454D6" w:rsidRDefault="006454D6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-la escritura pública o el documento privado, debe ser otorgado por cedente, cesionario y representante legal de la sociedad (art. 362 del código de comercio).</w:t>
      </w:r>
    </w:p>
    <w:p w:rsidR="006454D6" w:rsidRDefault="006454D6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-la decisión debe ser aprobada con el voto favorable de un número plural de socios  que represente, cuanto menos , el setenta por ciento (70%) de las cuotas que se encuentre dividido el capital social. </w:t>
      </w:r>
    </w:p>
    <w:p w:rsidR="006454D6" w:rsidRDefault="006454D6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-certificación de la sociedad, en la que se acredite el cumplimiento a las disposiciones de retracto o derecho de preferencia, a menos que a este haya sido excluido expresamente por estipulación estatutaria (art. 363, 364</w:t>
      </w:r>
      <w:r w:rsidR="00E92605">
        <w:rPr>
          <w:rFonts w:ascii="Arial Narrow" w:hAnsi="Arial Narrow"/>
          <w:color w:val="000000" w:themeColor="text1"/>
          <w:sz w:val="24"/>
          <w:szCs w:val="24"/>
        </w:rPr>
        <w:t>, 365 y 367 del código de comercio).</w:t>
      </w: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-las cuotas sociales objeto de la cesión deben estar libres de la medida de embargo.</w:t>
      </w: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lastRenderedPageBreak/>
        <w:t>- se debe acreditar el pago de retención en la fuente cuando el cedente sea una persona natural (art. 398 del estatuto tributario).</w:t>
      </w: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CAMBIO DE DENOMINACION O RAZON SOCIAL</w:t>
      </w: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Previamente se debe consultar en la cámara de comercio o en la página web </w:t>
      </w:r>
      <w:hyperlink r:id="rId8" w:history="1">
        <w:r w:rsidRPr="00C43B90">
          <w:rPr>
            <w:rStyle w:val="Hipervnculo"/>
            <w:rFonts w:ascii="Arial Narrow" w:hAnsi="Arial Narrow"/>
            <w:sz w:val="24"/>
            <w:szCs w:val="24"/>
          </w:rPr>
          <w:t>www.ccipiales.org.co</w:t>
        </w:r>
      </w:hyperlink>
      <w:r>
        <w:rPr>
          <w:rFonts w:ascii="Arial Narrow" w:hAnsi="Arial Narrow"/>
          <w:color w:val="000000" w:themeColor="text1"/>
          <w:sz w:val="24"/>
          <w:szCs w:val="24"/>
        </w:rPr>
        <w:t xml:space="preserve"> si el nombre seleccionado está siendo utilizado por un comerciante o establecimiento matriculado. </w:t>
      </w: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E92605" w:rsidRDefault="00E9260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Ingrese a la opción </w:t>
      </w:r>
      <w:r w:rsidR="006A1AD5">
        <w:rPr>
          <w:rFonts w:ascii="Arial Narrow" w:hAnsi="Arial Narrow"/>
          <w:color w:val="000000" w:themeColor="text1"/>
          <w:sz w:val="24"/>
          <w:szCs w:val="24"/>
        </w:rPr>
        <w:t>CAE, consulta de homonimia, una vez ingresado en el RUES verifique su consulta de nombre en la parte de registro nacionales.</w:t>
      </w:r>
    </w:p>
    <w:p w:rsidR="006A1AD5" w:rsidRDefault="006A1AD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6454D6" w:rsidRDefault="006A1AD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PRORROGA DEL TERMINO DE DURACION </w:t>
      </w:r>
    </w:p>
    <w:p w:rsidR="006A1AD5" w:rsidRDefault="006A1AD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6A1AD5" w:rsidRDefault="006A1AD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La reforma debe adoptarse antes del vencimiento del termino pactado en los estatutos sociales (art. 218 #1 del código de comercio).</w:t>
      </w:r>
    </w:p>
    <w:p w:rsidR="006A1AD5" w:rsidRDefault="006A1AD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6A1AD5" w:rsidRDefault="006A1AD5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La prórroga del término de duración de una sociedad es válida desde el momento en que se adopte </w:t>
      </w:r>
      <w:r w:rsidR="0062120E">
        <w:rPr>
          <w:rFonts w:ascii="Arial Narrow" w:hAnsi="Arial Narrow"/>
          <w:color w:val="000000" w:themeColor="text1"/>
          <w:sz w:val="24"/>
          <w:szCs w:val="24"/>
        </w:rPr>
        <w:t>la decisión por parte de la asamblea o junta de socios, aunque no se hayan cumplido los requisitos de publicidad que exige el art. 158 del código de comercio.</w:t>
      </w:r>
    </w:p>
    <w:p w:rsidR="0062120E" w:rsidRDefault="0062120E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62120E" w:rsidRDefault="0062120E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Por consiguiente, la disolución no se produce, pero esta circunstancia solo produce efectos, ante terceros con el registro mercantil de la escritura pública que contiene la reforma (supersociedades, oficio OA-102666, junio 12/81)</w:t>
      </w:r>
    </w:p>
    <w:p w:rsidR="0062120E" w:rsidRDefault="0062120E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62120E" w:rsidRDefault="0062120E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AUMENTO DE CAPITAL</w:t>
      </w:r>
    </w:p>
    <w:p w:rsidR="0062120E" w:rsidRDefault="0062120E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62120E" w:rsidRDefault="0062120E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El capital social </w:t>
      </w:r>
      <w:r w:rsidR="00E43832">
        <w:rPr>
          <w:rFonts w:ascii="Arial Narrow" w:hAnsi="Arial Narrow"/>
          <w:color w:val="000000" w:themeColor="text1"/>
          <w:sz w:val="24"/>
          <w:szCs w:val="24"/>
        </w:rPr>
        <w:t>está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integrado por los aportes que hacen los asociados </w:t>
      </w:r>
      <w:r w:rsidR="00E43832">
        <w:rPr>
          <w:rFonts w:ascii="Arial Narrow" w:hAnsi="Arial Narrow"/>
          <w:color w:val="000000" w:themeColor="text1"/>
          <w:sz w:val="24"/>
          <w:szCs w:val="24"/>
        </w:rPr>
        <w:t>en dinero o en especie y será fijado de manera precisa, pero podrá aumentarse o disminuirse en virtud de la correspondiente reforma estatutaria aprobada y formalizada conforme a la ley (art. 98 y 122 del código de comercio).</w:t>
      </w:r>
    </w:p>
    <w:p w:rsidR="00E43832" w:rsidRDefault="00E43832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E43832" w:rsidRDefault="00E43832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En las sociedades de responsabilidad limitada el capital debe pagarse íntegramente al solemnizarse cualquier aumento (art. 354 del código de comercio).</w:t>
      </w:r>
    </w:p>
    <w:p w:rsidR="00E43832" w:rsidRDefault="00E43832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E43832" w:rsidRDefault="00E43832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Si se aumenta el capital aportando inmuebles, la escritura debe generar la tradición del bien, por tal motivo, se inscribirá primero en la oficina del registro de instrumentos públicos y posteriormente en el registro mercantil de la cámara de comercio.</w:t>
      </w:r>
    </w:p>
    <w:p w:rsidR="00E43832" w:rsidRDefault="00E43832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DD0B22" w:rsidRDefault="00DD0B22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Para el aumento del capital social y del capital suscrito y pagado, con el fin de verificar la ocurrencia de la </w:t>
      </w:r>
      <w:r w:rsidR="00847ACA">
        <w:rPr>
          <w:rFonts w:ascii="Arial Narrow" w:hAnsi="Arial Narrow"/>
          <w:color w:val="000000" w:themeColor="text1"/>
          <w:sz w:val="24"/>
          <w:szCs w:val="24"/>
        </w:rPr>
        <w:t>inefica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cia contenida en el inciso segundo del art. 122 del código de </w:t>
      </w:r>
      <w:r>
        <w:rPr>
          <w:rFonts w:ascii="Arial Narrow" w:hAnsi="Arial Narrow"/>
          <w:color w:val="000000" w:themeColor="text1"/>
          <w:sz w:val="24"/>
          <w:szCs w:val="24"/>
        </w:rPr>
        <w:lastRenderedPageBreak/>
        <w:t>comercio, se hace necesario indicar en el texto del documento, el motivo q</w:t>
      </w:r>
      <w:r w:rsidR="00847ACA">
        <w:rPr>
          <w:rFonts w:ascii="Arial Narrow" w:hAnsi="Arial Narrow"/>
          <w:color w:val="000000" w:themeColor="text1"/>
          <w:sz w:val="24"/>
          <w:szCs w:val="24"/>
        </w:rPr>
        <w:t>ue origen al aumento de capital.</w:t>
      </w:r>
    </w:p>
    <w:p w:rsidR="00847ACA" w:rsidRDefault="00847ACA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847ACA" w:rsidRDefault="00847ACA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CAMBIO DE DOMICILIO </w:t>
      </w:r>
    </w:p>
    <w:p w:rsidR="00847ACA" w:rsidRDefault="00847ACA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847ACA" w:rsidRDefault="00847ACA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Se determina cambio de domicilio cuando una persona natural o jurídica cambia el municipio donde ejerce sus actividades principalmente.</w:t>
      </w:r>
    </w:p>
    <w:p w:rsidR="00847ACA" w:rsidRDefault="00847ACA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847ACA" w:rsidRDefault="00847ACA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Si el domicilio, está fuera de la jurisdicción de la cámara de comercio de Ipiales, se solicitará la reforma en esta entidad, una vez inscrita la reforma internamente se transferirá toda la información a la cámara de comercio receptora y posteriormente el empresario deberá solicitar   la matricula por cambio de domicilio a la cámara de comercio que ejerza jurisdicción en el municipio que solicito el traslado. </w:t>
      </w:r>
    </w:p>
    <w:p w:rsidR="00E43832" w:rsidRDefault="00E43832" w:rsidP="006454D6">
      <w:pPr>
        <w:pStyle w:val="Prrafodelista"/>
        <w:rPr>
          <w:rFonts w:ascii="Arial Narrow" w:hAnsi="Arial Narrow"/>
          <w:color w:val="000000" w:themeColor="text1"/>
          <w:sz w:val="24"/>
          <w:szCs w:val="24"/>
        </w:rPr>
      </w:pPr>
    </w:p>
    <w:p w:rsidR="0098426B" w:rsidRPr="00D85122" w:rsidRDefault="0098426B" w:rsidP="0098426B">
      <w:pPr>
        <w:pStyle w:val="Sinespaciado"/>
      </w:pPr>
    </w:p>
    <w:p w:rsidR="00361CF4" w:rsidRPr="009C0BD5" w:rsidRDefault="009C0BD5" w:rsidP="00847ACA">
      <w:pPr>
        <w:pStyle w:val="Prrafodelista"/>
        <w:numPr>
          <w:ilvl w:val="0"/>
          <w:numId w:val="3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Presente  los  documentos ante </w:t>
      </w:r>
      <w:r w:rsidR="00361CF4" w:rsidRPr="009C0BD5">
        <w:rPr>
          <w:rFonts w:ascii="Arial Narrow" w:hAnsi="Arial Narrow" w:cs="Arial"/>
          <w:color w:val="000000" w:themeColor="text1"/>
        </w:rPr>
        <w:t xml:space="preserve"> la cámara de comercio de Ipiales :</w:t>
      </w:r>
    </w:p>
    <w:p w:rsidR="00F31205" w:rsidRDefault="00F31205" w:rsidP="00847ACA">
      <w:pPr>
        <w:spacing w:after="225"/>
        <w:ind w:left="720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-copia autentica de la escritura pública o documento privado.</w:t>
      </w:r>
    </w:p>
    <w:p w:rsidR="00F31205" w:rsidRDefault="00F31205" w:rsidP="00847ACA">
      <w:pPr>
        <w:spacing w:after="225"/>
        <w:ind w:left="720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-acta de junta de socios o asamblea de accionistas en la que conste la decisión de reformar los estatutos y su aprobación con el quorum previsto en los estatutos o en la ley.</w:t>
      </w:r>
    </w:p>
    <w:p w:rsidR="00847ACA" w:rsidRDefault="00F31205" w:rsidP="00847ACA">
      <w:pPr>
        <w:spacing w:after="225"/>
        <w:ind w:left="720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-debe acreditarse el pago de impuesto de registro en Gobernación de Nariño. (Ley 223 de 1995 y decreto reglamentario 650  </w:t>
      </w:r>
      <w:r w:rsidR="00670B8E">
        <w:rPr>
          <w:rFonts w:ascii="Arial Narrow" w:hAnsi="Arial Narrow" w:cs="Arial"/>
          <w:color w:val="000000" w:themeColor="text1"/>
        </w:rPr>
        <w:t xml:space="preserve">de 1996) </w:t>
      </w:r>
    </w:p>
    <w:p w:rsidR="00670B8E" w:rsidRDefault="00670B8E" w:rsidP="00847ACA">
      <w:pPr>
        <w:spacing w:after="225"/>
        <w:ind w:left="720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-pago de los derechos de </w:t>
      </w:r>
      <w:r w:rsidR="00F76F4A">
        <w:rPr>
          <w:rFonts w:ascii="Arial Narrow" w:hAnsi="Arial Narrow" w:cs="Arial"/>
          <w:color w:val="000000" w:themeColor="text1"/>
        </w:rPr>
        <w:t>inscripción.</w:t>
      </w:r>
    </w:p>
    <w:p w:rsidR="009C0BD5" w:rsidRDefault="00032E0D" w:rsidP="00847ACA">
      <w:pPr>
        <w:numPr>
          <w:ilvl w:val="0"/>
          <w:numId w:val="3"/>
        </w:numPr>
        <w:spacing w:after="225"/>
        <w:textAlignment w:val="baseline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Consulte su est</w:t>
      </w:r>
      <w:r w:rsidR="00B54565">
        <w:rPr>
          <w:rFonts w:ascii="Arial Narrow" w:hAnsi="Arial Narrow" w:cs="Arial"/>
          <w:color w:val="000000" w:themeColor="text1"/>
        </w:rPr>
        <w:t xml:space="preserve">ado de trámite, ingrese a </w:t>
      </w:r>
      <w:hyperlink r:id="rId9" w:history="1">
        <w:r w:rsidR="00B54565" w:rsidRPr="008D6F03">
          <w:rPr>
            <w:rStyle w:val="Hipervnculo"/>
            <w:rFonts w:ascii="Arial Narrow" w:hAnsi="Arial Narrow" w:cs="Arial"/>
          </w:rPr>
          <w:t>www.ccipiales.org.co</w:t>
        </w:r>
      </w:hyperlink>
      <w:r w:rsidR="00B54565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 en la opción de Entidades sin Ánimo de lucro y presione el botón estado de </w:t>
      </w:r>
      <w:r w:rsidR="009C0BD5">
        <w:rPr>
          <w:rFonts w:ascii="Arial Narrow" w:hAnsi="Arial Narrow" w:cs="Arial"/>
          <w:color w:val="000000" w:themeColor="text1"/>
        </w:rPr>
        <w:t>trámite</w:t>
      </w:r>
    </w:p>
    <w:p w:rsidR="00032E0D" w:rsidRPr="00032E0D" w:rsidRDefault="00032E0D" w:rsidP="009C0BD5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9C0BD5" w:rsidTr="009C0BD5">
        <w:tc>
          <w:tcPr>
            <w:tcW w:w="8978" w:type="dxa"/>
          </w:tcPr>
          <w:p w:rsidR="009C0BD5" w:rsidRDefault="009C0BD5" w:rsidP="009C0BD5">
            <w:pPr>
              <w:spacing w:after="225"/>
              <w:jc w:val="center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LISTA DE CHEQUEO</w:t>
            </w:r>
          </w:p>
        </w:tc>
      </w:tr>
      <w:tr w:rsidR="009C0BD5" w:rsidTr="009C0BD5">
        <w:tc>
          <w:tcPr>
            <w:tcW w:w="8978" w:type="dxa"/>
          </w:tcPr>
          <w:p w:rsidR="009C0BD5" w:rsidRDefault="009C0BD5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Marque la casilla al cumplir cada paso:</w:t>
            </w:r>
          </w:p>
          <w:p w:rsidR="009C0BD5" w:rsidRDefault="00F76F4A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1. (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   ) </w:t>
            </w:r>
            <w:r>
              <w:rPr>
                <w:rFonts w:ascii="Arial Narrow" w:hAnsi="Arial Narrow" w:cs="Arial"/>
                <w:color w:val="000000" w:themeColor="text1"/>
              </w:rPr>
              <w:t>entregar copia de documento de reforma de estatutos en las ventanillas de la entidad.</w:t>
            </w:r>
          </w:p>
          <w:p w:rsidR="009C0BD5" w:rsidRDefault="00BE7363" w:rsidP="00361CF4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2</w:t>
            </w:r>
            <w:r w:rsidR="009C0BD5">
              <w:rPr>
                <w:rFonts w:ascii="Arial Narrow" w:hAnsi="Arial Narrow" w:cs="Arial"/>
                <w:color w:val="000000" w:themeColor="text1"/>
              </w:rPr>
              <w:t xml:space="preserve">. (  ) </w:t>
            </w:r>
            <w:r w:rsidR="00F76F4A">
              <w:rPr>
                <w:rFonts w:ascii="Arial Narrow" w:hAnsi="Arial Narrow" w:cs="Arial"/>
                <w:color w:val="000000" w:themeColor="text1"/>
              </w:rPr>
              <w:t xml:space="preserve">pagar el impuesto de registro en el módulo de Gobernación  de Nariño </w:t>
            </w:r>
            <w:r w:rsidR="00DD45C6">
              <w:rPr>
                <w:rFonts w:ascii="Arial Narrow" w:hAnsi="Arial Narrow" w:cs="Arial"/>
                <w:color w:val="000000" w:themeColor="text1"/>
              </w:rPr>
              <w:t xml:space="preserve">o en ventanilla Unica </w:t>
            </w:r>
            <w:bookmarkStart w:id="0" w:name="_GoBack"/>
            <w:bookmarkEnd w:id="0"/>
          </w:p>
          <w:p w:rsidR="00E1265A" w:rsidRDefault="00BE7363" w:rsidP="00F76F4A">
            <w:pPr>
              <w:spacing w:after="225"/>
              <w:textAlignment w:val="baseline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3</w:t>
            </w:r>
            <w:r w:rsidR="00E1265A">
              <w:rPr>
                <w:rFonts w:ascii="Arial Narrow" w:hAnsi="Arial Narrow" w:cs="Arial"/>
                <w:color w:val="000000" w:themeColor="text1"/>
              </w:rPr>
              <w:t xml:space="preserve">. (  ) pagar los derechos de inscripción </w:t>
            </w:r>
          </w:p>
        </w:tc>
      </w:tr>
    </w:tbl>
    <w:p w:rsidR="00361CF4" w:rsidRPr="00D85122" w:rsidRDefault="00361CF4" w:rsidP="00361CF4">
      <w:pPr>
        <w:spacing w:after="225"/>
        <w:ind w:left="360"/>
        <w:textAlignment w:val="baseline"/>
        <w:rPr>
          <w:rFonts w:ascii="Arial Narrow" w:hAnsi="Arial Narrow" w:cs="Arial"/>
          <w:color w:val="000000" w:themeColor="text1"/>
        </w:rPr>
      </w:pPr>
    </w:p>
    <w:p w:rsidR="00361CF4" w:rsidRPr="00D85122" w:rsidRDefault="00361CF4" w:rsidP="00361CF4">
      <w:pPr>
        <w:rPr>
          <w:rFonts w:ascii="Arial Narrow" w:hAnsi="Arial Narrow"/>
          <w:color w:val="000000" w:themeColor="text1"/>
          <w:sz w:val="24"/>
          <w:szCs w:val="24"/>
        </w:rPr>
      </w:pPr>
      <w:r w:rsidRPr="00D851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634A0A" w:rsidRDefault="00634A0A"/>
    <w:sectPr w:rsidR="00634A0A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6A" w:rsidRDefault="0036346A" w:rsidP="0036346A">
      <w:pPr>
        <w:spacing w:after="0" w:line="240" w:lineRule="auto"/>
      </w:pPr>
      <w:r>
        <w:separator/>
      </w:r>
    </w:p>
  </w:endnote>
  <w:end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24"/>
    </w:tblGrid>
    <w:tr w:rsidR="0056280F" w:rsidTr="0056280F">
      <w:tc>
        <w:tcPr>
          <w:tcW w:w="1924" w:type="dxa"/>
        </w:tcPr>
        <w:p w:rsidR="0056280F" w:rsidRDefault="0056280F" w:rsidP="00BA4208">
          <w:pPr>
            <w:pStyle w:val="Encabezado"/>
          </w:pPr>
          <w:r>
            <w:t>Versión 02</w:t>
          </w:r>
        </w:p>
      </w:tc>
    </w:tr>
    <w:tr w:rsidR="0056280F" w:rsidTr="0056280F">
      <w:tc>
        <w:tcPr>
          <w:tcW w:w="1924" w:type="dxa"/>
        </w:tcPr>
        <w:p w:rsidR="0056280F" w:rsidRDefault="0056280F" w:rsidP="00BA4208">
          <w:pPr>
            <w:pStyle w:val="Encabezado"/>
          </w:pPr>
          <w:r>
            <w:t>Inst-4</w:t>
          </w:r>
        </w:p>
      </w:tc>
    </w:tr>
    <w:tr w:rsidR="0056280F" w:rsidTr="0056280F">
      <w:tc>
        <w:tcPr>
          <w:tcW w:w="1924" w:type="dxa"/>
        </w:tcPr>
        <w:p w:rsidR="0056280F" w:rsidRDefault="0056280F" w:rsidP="00BA4208">
          <w:pPr>
            <w:pStyle w:val="Encabezado"/>
          </w:pPr>
          <w:r>
            <w:t>Fecha: 07/06/2018</w:t>
          </w:r>
        </w:p>
      </w:tc>
    </w:tr>
  </w:tbl>
  <w:p w:rsidR="0056280F" w:rsidRDefault="005628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6A" w:rsidRDefault="0036346A" w:rsidP="0036346A">
      <w:pPr>
        <w:spacing w:after="0" w:line="240" w:lineRule="auto"/>
      </w:pPr>
      <w:r>
        <w:separator/>
      </w:r>
    </w:p>
  </w:footnote>
  <w:footnote w:type="continuationSeparator" w:id="0">
    <w:p w:rsidR="0036346A" w:rsidRDefault="0036346A" w:rsidP="00363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943"/>
    <w:multiLevelType w:val="multilevel"/>
    <w:tmpl w:val="F04C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65F0E77"/>
    <w:multiLevelType w:val="hybridMultilevel"/>
    <w:tmpl w:val="BBBEE5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20B07"/>
    <w:multiLevelType w:val="hybridMultilevel"/>
    <w:tmpl w:val="4CB059D8"/>
    <w:lvl w:ilvl="0" w:tplc="AF18A40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10F59"/>
    <w:multiLevelType w:val="hybridMultilevel"/>
    <w:tmpl w:val="D4E61AD0"/>
    <w:lvl w:ilvl="0" w:tplc="34E48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4"/>
    <w:rsid w:val="00012C58"/>
    <w:rsid w:val="00014D83"/>
    <w:rsid w:val="00032E0D"/>
    <w:rsid w:val="00046406"/>
    <w:rsid w:val="0009088C"/>
    <w:rsid w:val="000B30D5"/>
    <w:rsid w:val="000F0E7A"/>
    <w:rsid w:val="00176B3B"/>
    <w:rsid w:val="001F545B"/>
    <w:rsid w:val="00202573"/>
    <w:rsid w:val="0025325A"/>
    <w:rsid w:val="003056EA"/>
    <w:rsid w:val="00361CF4"/>
    <w:rsid w:val="0036346A"/>
    <w:rsid w:val="004034E7"/>
    <w:rsid w:val="00447013"/>
    <w:rsid w:val="0045076B"/>
    <w:rsid w:val="004C5349"/>
    <w:rsid w:val="0056280F"/>
    <w:rsid w:val="0062120E"/>
    <w:rsid w:val="00634A0A"/>
    <w:rsid w:val="006454D6"/>
    <w:rsid w:val="00670B8E"/>
    <w:rsid w:val="006A1AD5"/>
    <w:rsid w:val="006A7D37"/>
    <w:rsid w:val="00775C13"/>
    <w:rsid w:val="00847ACA"/>
    <w:rsid w:val="0098426B"/>
    <w:rsid w:val="009C0BD5"/>
    <w:rsid w:val="00A97EFB"/>
    <w:rsid w:val="00AA6519"/>
    <w:rsid w:val="00B54565"/>
    <w:rsid w:val="00B76E32"/>
    <w:rsid w:val="00BE7363"/>
    <w:rsid w:val="00C62FDC"/>
    <w:rsid w:val="00CC00F9"/>
    <w:rsid w:val="00CE26B2"/>
    <w:rsid w:val="00CF3E26"/>
    <w:rsid w:val="00D466DA"/>
    <w:rsid w:val="00D90B89"/>
    <w:rsid w:val="00DD0B22"/>
    <w:rsid w:val="00DD45C6"/>
    <w:rsid w:val="00E1265A"/>
    <w:rsid w:val="00E30F92"/>
    <w:rsid w:val="00E43832"/>
    <w:rsid w:val="00E473E3"/>
    <w:rsid w:val="00E92605"/>
    <w:rsid w:val="00F31205"/>
    <w:rsid w:val="00F47224"/>
    <w:rsid w:val="00F76F4A"/>
    <w:rsid w:val="00FC528C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F4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6B3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6A7D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D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C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346A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6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46A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piales.org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cipiales.org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AlexD</cp:lastModifiedBy>
  <cp:revision>21</cp:revision>
  <dcterms:created xsi:type="dcterms:W3CDTF">2017-12-11T20:58:00Z</dcterms:created>
  <dcterms:modified xsi:type="dcterms:W3CDTF">2019-05-05T02:43:00Z</dcterms:modified>
</cp:coreProperties>
</file>