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13" w:rsidRDefault="00AA3BD4" w:rsidP="00CF3E26">
      <w:pPr>
        <w:rPr>
          <w:rFonts w:ascii="Arial Narrow" w:hAnsi="Arial Narrow"/>
          <w:b/>
          <w:color w:val="000000" w:themeColor="text1"/>
          <w:sz w:val="24"/>
          <w:szCs w:val="24"/>
        </w:rPr>
      </w:pPr>
      <w:r>
        <w:rPr>
          <w:rFonts w:ascii="Arial Narrow" w:hAnsi="Arial Narrow"/>
          <w:b/>
          <w:color w:val="000000" w:themeColor="text1"/>
          <w:sz w:val="24"/>
          <w:szCs w:val="24"/>
        </w:rPr>
        <w:t>DISOLUCION, REACTIVACION Y LIQUIDACION DE SOCIEDADES</w:t>
      </w: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t xml:space="preserve">DISOLUCIÓN </w:t>
      </w:r>
    </w:p>
    <w:p w:rsidR="00AA3BD4" w:rsidRPr="00AA3BD4" w:rsidRDefault="00AA3BD4" w:rsidP="00AA3BD4">
      <w:pPr>
        <w:jc w:val="both"/>
        <w:rPr>
          <w:rFonts w:ascii="Arial Narrow" w:hAnsi="Arial Narrow"/>
          <w:color w:val="000000" w:themeColor="text1"/>
          <w:sz w:val="24"/>
          <w:szCs w:val="24"/>
        </w:rPr>
      </w:pPr>
      <w:r w:rsidRPr="00AA3BD4">
        <w:rPr>
          <w:rFonts w:ascii="Arial Narrow" w:hAnsi="Arial Narrow"/>
          <w:color w:val="000000" w:themeColor="text1"/>
          <w:sz w:val="24"/>
          <w:szCs w:val="24"/>
        </w:rPr>
        <w:t>La disolución es el acto jurídico a través del cual la sociedad suspende el desarrollo de su actividad social y entra en el proceso para finiquitar su operación y llegar a la liquidación final. La disolución puede ocasionarse por las causales pactadas en los estatutos sociales o en la ley.</w:t>
      </w:r>
    </w:p>
    <w:p w:rsidR="00AA3BD4" w:rsidRPr="00AA3BD4" w:rsidRDefault="00AA3BD4" w:rsidP="00AA3BD4">
      <w:pPr>
        <w:jc w:val="both"/>
        <w:rPr>
          <w:rFonts w:ascii="Arial Narrow" w:hAnsi="Arial Narrow"/>
          <w:b/>
          <w:color w:val="000000" w:themeColor="text1"/>
          <w:sz w:val="24"/>
          <w:szCs w:val="24"/>
        </w:rPr>
      </w:pP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t xml:space="preserve">¿CUÁLES SON LAS CAUSALES DE DISOLUCIÓN? </w:t>
      </w:r>
    </w:p>
    <w:p w:rsidR="00AA3BD4" w:rsidRPr="00AA3BD4" w:rsidRDefault="00AA3BD4" w:rsidP="00AA3BD4">
      <w:pPr>
        <w:pStyle w:val="Sinespaciado"/>
      </w:pPr>
      <w:r w:rsidRPr="00AA3BD4">
        <w:t>Conforme a la ley mercantil, la sociedad se disolverá por las causales previstas en sus estatutos o por las especiales de cada tipo de sociedad, según el régimen especial de cada una.</w:t>
      </w:r>
    </w:p>
    <w:p w:rsidR="00AA3BD4" w:rsidRPr="00AA3BD4" w:rsidRDefault="00AA3BD4" w:rsidP="00AA3BD4">
      <w:pPr>
        <w:pStyle w:val="Sinespaciado"/>
      </w:pPr>
      <w:r w:rsidRPr="00AA3BD4">
        <w:t>La sociedad podrá disolverse por las siguientes causales establecidas en el artículo 218 del Código de Comercio:</w:t>
      </w:r>
    </w:p>
    <w:p w:rsidR="00AA3BD4" w:rsidRPr="00AA3BD4" w:rsidRDefault="00AA3BD4" w:rsidP="00AA3BD4">
      <w:pPr>
        <w:pStyle w:val="Sinespaciado"/>
      </w:pPr>
      <w:r w:rsidRPr="00AA3BD4">
        <w:t xml:space="preserve">1) Por vencimiento del término previsto para su duración en el contrato, si no fuere prorrogado válidamente antes de su expiración; </w:t>
      </w:r>
    </w:p>
    <w:p w:rsidR="00AA3BD4" w:rsidRPr="00AA3BD4" w:rsidRDefault="00AA3BD4" w:rsidP="00AA3BD4">
      <w:pPr>
        <w:pStyle w:val="Sinespaciado"/>
      </w:pPr>
      <w:r w:rsidRPr="00AA3BD4">
        <w:t>2) Por la imposibilidad de desarrollar la empresa social, por la terminación de la misma o por la extinción de la cosa o cosas cuya explotación constituye su objeto;</w:t>
      </w:r>
    </w:p>
    <w:p w:rsidR="00AA3BD4" w:rsidRPr="00AA3BD4" w:rsidRDefault="00AA3BD4" w:rsidP="00AA3BD4">
      <w:pPr>
        <w:pStyle w:val="Sinespaciado"/>
      </w:pPr>
      <w:r w:rsidRPr="00AA3BD4">
        <w:t>3) Por reducción del número de asociados a menos del requerido en la ley para su formación o funcionamiento, o por aumento que exceda del límite máximo fijado en la misma ley;</w:t>
      </w:r>
    </w:p>
    <w:p w:rsidR="00AA3BD4" w:rsidRPr="00AA3BD4" w:rsidRDefault="00AA3BD4" w:rsidP="00AA3BD4">
      <w:pPr>
        <w:pStyle w:val="Sinespaciado"/>
      </w:pPr>
      <w:r w:rsidRPr="00AA3BD4">
        <w:t>4) Por la declaración de quiebra de la sociedad;</w:t>
      </w:r>
    </w:p>
    <w:p w:rsidR="00AA3BD4" w:rsidRPr="00AA3BD4" w:rsidRDefault="00AA3BD4" w:rsidP="00AA3BD4">
      <w:pPr>
        <w:pStyle w:val="Sinespaciado"/>
      </w:pPr>
      <w:r w:rsidRPr="00AA3BD4">
        <w:t>5) Por las causales que expresa y claramente se estipulen en el contrato;</w:t>
      </w:r>
    </w:p>
    <w:p w:rsidR="00AA3BD4" w:rsidRPr="00AA3BD4" w:rsidRDefault="00AA3BD4" w:rsidP="00AA3BD4">
      <w:pPr>
        <w:pStyle w:val="Sinespaciado"/>
      </w:pPr>
      <w:r w:rsidRPr="00AA3BD4">
        <w:t>6) Por decisión de los asociados, adoptada conforme a las leyes y al contrato social;</w:t>
      </w:r>
    </w:p>
    <w:p w:rsidR="00AA3BD4" w:rsidRPr="00AA3BD4" w:rsidRDefault="00AA3BD4" w:rsidP="00AA3BD4">
      <w:pPr>
        <w:pStyle w:val="Sinespaciado"/>
      </w:pPr>
      <w:r w:rsidRPr="00AA3BD4">
        <w:t>7) Por decisión de autoridad competente en los casos expresamente previstos en las leyes, y</w:t>
      </w:r>
    </w:p>
    <w:p w:rsidR="00AA3BD4" w:rsidRDefault="00AA3BD4" w:rsidP="00AA3BD4">
      <w:pPr>
        <w:pStyle w:val="Sinespaciado"/>
      </w:pPr>
      <w:r w:rsidRPr="00AA3BD4">
        <w:t>8) Por las demás causales establecidas en las leyes, en relación con todas o algunas de las formas de sociedad que regula este Código.</w:t>
      </w:r>
    </w:p>
    <w:p w:rsidR="00AA3BD4" w:rsidRPr="00AA3BD4" w:rsidRDefault="00AA3BD4" w:rsidP="00AA3BD4">
      <w:pPr>
        <w:pStyle w:val="Sinespaciado"/>
      </w:pPr>
    </w:p>
    <w:p w:rsidR="00AA3BD4" w:rsidRPr="00AA3BD4" w:rsidRDefault="00AA3BD4" w:rsidP="00AA3BD4">
      <w:pPr>
        <w:rPr>
          <w:rFonts w:ascii="Arial Narrow" w:hAnsi="Arial Narrow"/>
          <w:b/>
          <w:color w:val="000000" w:themeColor="text1"/>
          <w:sz w:val="24"/>
          <w:szCs w:val="24"/>
        </w:rPr>
      </w:pPr>
      <w:r w:rsidRPr="00AA3BD4">
        <w:rPr>
          <w:rFonts w:ascii="Arial Narrow" w:hAnsi="Arial Narrow"/>
          <w:color w:val="000000" w:themeColor="text1"/>
          <w:sz w:val="24"/>
          <w:szCs w:val="24"/>
        </w:rPr>
        <w:t>En reunión del órgano social competente según los estatutos, se deberá decretar la disolución de la sociedad, decisión que deberá constar en acta con el lleno de requisitos formales que la ley establece (Artículo 189 Código de Comercio) o en la escritura pública, según sea el caso</w:t>
      </w:r>
      <w:r>
        <w:rPr>
          <w:rFonts w:ascii="Arial Narrow" w:hAnsi="Arial Narrow"/>
          <w:b/>
          <w:color w:val="000000" w:themeColor="text1"/>
          <w:sz w:val="24"/>
          <w:szCs w:val="24"/>
        </w:rPr>
        <w:t>.</w:t>
      </w: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t>¿CÓMO SE REALIZA LA DISOLUCIÓN DE LA SOCIEDAD?</w:t>
      </w:r>
    </w:p>
    <w:p w:rsidR="00AA3BD4"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La decisión de disolución de la sociedad constituye una reforma estatutaria que deberá ser aprobada por el órgano social competente de</w:t>
      </w:r>
      <w:r>
        <w:rPr>
          <w:rFonts w:ascii="Arial Narrow" w:hAnsi="Arial Narrow"/>
          <w:color w:val="000000" w:themeColor="text1"/>
          <w:sz w:val="24"/>
          <w:szCs w:val="24"/>
        </w:rPr>
        <w:t xml:space="preserve"> conformidad con los estatutos.</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*presentar copia del documento idóneo de disolución legible en cualquier ventanilla de caja.</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 xml:space="preserve">*tenga en cuenta que la entidad declarada en disolución, no podrá continuar desarrollando actividades, excepto las encaminadas a su liquidación. </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*a partir de la declaración de disolución, al nombre de la entidad deberá adicionarse la expresión “en liquidación”</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 xml:space="preserve">*las entidades que no están constituidas por escritura pública, como puede ser el caso de las entidades sin ánimo de lucro, las empresas asociativas de trabajo, empresas unipersonales, las asociaciones colectivas, anónimas , limitadas o sociedades por acciones simplificadas, de acuerdo a </w:t>
      </w:r>
      <w:r w:rsidRPr="00CE20BA">
        <w:rPr>
          <w:rFonts w:ascii="Arial Narrow" w:hAnsi="Arial Narrow"/>
          <w:color w:val="000000" w:themeColor="text1"/>
          <w:sz w:val="24"/>
          <w:szCs w:val="24"/>
        </w:rPr>
        <w:lastRenderedPageBreak/>
        <w:t>la ley 14 de 2006 , deben cumplir los mismos requisitos y trámite para disolución y liquidación de sociedades, salvo que la respectiva acta no requiere ser protocolizada en una escritura, siendo viable el registro de la misma.</w:t>
      </w:r>
    </w:p>
    <w:p w:rsidR="00CE20BA" w:rsidRPr="00AA3BD4"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*si se trata de una</w:t>
      </w:r>
      <w:r>
        <w:rPr>
          <w:rFonts w:ascii="Arial Narrow" w:hAnsi="Arial Narrow"/>
          <w:color w:val="000000" w:themeColor="text1"/>
          <w:sz w:val="24"/>
          <w:szCs w:val="24"/>
        </w:rPr>
        <w:t xml:space="preserve"> sociedad vigilada por la súper</w:t>
      </w:r>
      <w:r w:rsidRPr="00CE20BA">
        <w:rPr>
          <w:rFonts w:ascii="Arial Narrow" w:hAnsi="Arial Narrow"/>
          <w:color w:val="000000" w:themeColor="text1"/>
          <w:sz w:val="24"/>
          <w:szCs w:val="24"/>
        </w:rPr>
        <w:t>sociedades, adjunte a la escritura la resolución que autorice la reforma.</w:t>
      </w: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t xml:space="preserve">NOMBRAMIENTO DEL LIQUIDADOR </w:t>
      </w:r>
      <w:r w:rsidR="00684D62">
        <w:rPr>
          <w:rFonts w:ascii="Arial Narrow" w:hAnsi="Arial Narrow"/>
          <w:b/>
          <w:color w:val="000000" w:themeColor="text1"/>
          <w:sz w:val="24"/>
          <w:szCs w:val="24"/>
        </w:rPr>
        <w:t>(EN CASO DE QUE SEA ALGUIEN DISTINTO AL REPRESENTANTE LEGAL)</w:t>
      </w:r>
    </w:p>
    <w:p w:rsidR="00AA3BD4" w:rsidRPr="00CE20BA"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 xml:space="preserve">En la reunión que se adopte la decisión de declarar la sociedad disuelta y en estado de liquidación, se podrá proceder a nombrar a una persona para que actúe en calidad de liquidador, quien será el encargado de llevar el trámite de liquidación de la sociedad. Si no se realiza dicho nombramiento, tendrá las facultades de liquidador el último representante legal </w:t>
      </w:r>
      <w:r w:rsidR="00CE20BA">
        <w:rPr>
          <w:rFonts w:ascii="Arial Narrow" w:hAnsi="Arial Narrow"/>
          <w:color w:val="000000" w:themeColor="text1"/>
          <w:sz w:val="24"/>
          <w:szCs w:val="24"/>
        </w:rPr>
        <w:t>inscrito en Cámara de Comercio.</w:t>
      </w: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t xml:space="preserve">LIQUIDACIÓN </w:t>
      </w:r>
    </w:p>
    <w:p w:rsidR="00AA3BD4" w:rsidRPr="00AA3BD4"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La liquidación es la etapa siguiente a la disolución de la sociedad, etapa en la cual quien haga las veces de liquidador, realizará un inventario, cancelará los pasivos internos y externos de la sociedad y en caso de quedar remanentes (patrimonio), se procederá a</w:t>
      </w:r>
      <w:r>
        <w:rPr>
          <w:rFonts w:ascii="Arial Narrow" w:hAnsi="Arial Narrow"/>
          <w:color w:val="000000" w:themeColor="text1"/>
          <w:sz w:val="24"/>
          <w:szCs w:val="24"/>
        </w:rPr>
        <w:t xml:space="preserve"> la adjudicación de los mismos.</w:t>
      </w: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t xml:space="preserve">¿CÓMO SE REALIZA LA LIQUIDACIÓN DE LA SOCIEDAD? </w:t>
      </w:r>
    </w:p>
    <w:p w:rsidR="00AA3BD4"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Una vez finalizado el proceso de liquidación, se debe enviar para registro documento en el que conste la aprobación de la liquidación propiamente dicha de la sociedad, en la cual se deberá aprobar la cuenta final de liquidación y distribución de los remanentes, de acuerdo a lo dispuesto por el Artículo 247 y 248 del Código de Comercio. Si dentro del trámite de liquidación se adjudican bienes inmuebles, se deberá aportar escritura pública y adjuntar la correspondiente boleta fiscal.</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*dar aviso dentro de los diez días siguientes a la fecha en que ocurrió la causal a la oficina de cobranza de la administración de impuestos Nacionales, sobre las deudas fiscales a cargo de la entidad, so pena de hacerse solidariamente responsable de las mismas. Este requisito se omite cuando una autoridad competente ordena la liquidación obligatoria.</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*comunicar  terceros y acreedores el estado de liquidación de la entidad, mediante aviso que se publicara en un periódico del domicilio social y avisos visibles en las oficinas y establecimientos de comercio.</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*elaborar los inventarios y el balance final de la sociedad o entidad Sin Ánimo de Lucro</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*en las sociedades, empresas asociativas de trabajo y empresas unipersonales el liquidador debe pagar el pasivo externo, y posponer al máximo órgano para que sea aprobado la devolución de los aportes a los socios y la distribución del remanente entre estos, si existe.</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 xml:space="preserve">*en el caso de las entidades Sin Ánimo de Lucro, el liquidador debe pagar el pasivo externo y proponer al máximo órgano para que apruebe el envío del remanente patrimonial a la entidad que en los estatutos se indique. </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lastRenderedPageBreak/>
        <w:t xml:space="preserve">*el proyecto de liquidación debe ser sometido a consideración del máximo órgano de la entidad y elaborarse un acta donde conste su aprobación. </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*se puede registrar el acta de cuenta final de liquidación, que debe contener, además de los señalados en la ley (favor ver instructivo para “actas”), los siguientes para la liquidación; nombre de los asociados, valor de su correspondiente derecho social (valor patrimonial); y, la suma  de dinero o los bienes  que reciba cada uno a título de liquidación. La fecha del acta de liquidación debe ser posterior a la de la escritura pública o documento privado de disolución o al vencimiento del término de duración de la sociedad.</w:t>
      </w:r>
    </w:p>
    <w:p w:rsidR="00CE20BA" w:rsidRPr="00CE20BA"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*se puede también proceder al registro de la escritura pública o documento privado contentiva de la cuenta final de la liquidación, en que  se protocolice; acta aprobatoria de la cuenta final de liquidación;  diligencias de inventarios de los bienes sociales; y actualizaciones judiciales, si fuera el caso.</w:t>
      </w:r>
    </w:p>
    <w:p w:rsidR="00CE20BA" w:rsidRPr="00AA3BD4" w:rsidRDefault="00CE20BA" w:rsidP="00CE20BA">
      <w:pPr>
        <w:rPr>
          <w:rFonts w:ascii="Arial Narrow" w:hAnsi="Arial Narrow"/>
          <w:color w:val="000000" w:themeColor="text1"/>
          <w:sz w:val="24"/>
          <w:szCs w:val="24"/>
        </w:rPr>
      </w:pPr>
      <w:r w:rsidRPr="00CE20BA">
        <w:rPr>
          <w:rFonts w:ascii="Arial Narrow" w:hAnsi="Arial Narrow"/>
          <w:color w:val="000000" w:themeColor="text1"/>
          <w:sz w:val="24"/>
          <w:szCs w:val="24"/>
        </w:rPr>
        <w:t>*al acta de liquidación se debe acompañar; balance del contador, paz y salvo de la DIAN, publicación en prensa.</w:t>
      </w:r>
    </w:p>
    <w:p w:rsidR="00AA3BD4" w:rsidRPr="00AA3BD4" w:rsidRDefault="00AA3BD4" w:rsidP="00AA3BD4">
      <w:pPr>
        <w:rPr>
          <w:rFonts w:ascii="Arial Narrow" w:hAnsi="Arial Narrow"/>
          <w:b/>
          <w:color w:val="000000" w:themeColor="text1"/>
          <w:sz w:val="24"/>
          <w:szCs w:val="24"/>
        </w:rPr>
      </w:pP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t xml:space="preserve">¿QUÉ REQUIERE PARA SU INSCRIPCIÓN? </w:t>
      </w:r>
    </w:p>
    <w:p w:rsidR="00AA3BD4" w:rsidRPr="00AA3BD4"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Presentar para registro en la Cámara de Comercio del domicilio social y de sus sucursales copia del acta, con el lleno de requisitos formales que la ley establece (Artículo 189 Código de Comercio). Se debe tener en cuenta que el acta original deberá reposar en el libro de actas de la sociedad.</w:t>
      </w:r>
    </w:p>
    <w:p w:rsidR="00AA3BD4" w:rsidRPr="00AA3BD4"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Por disposición del inciso segundo del artículo 42 de la ley 1429 de 2010, las actas de órganos sociales y de administración de las sociedades, así como sus extractos y copias autorizadas por el secretario o por el representante de la respectiva persona jurídica, se presumen auténticas, por lo cual no se requiere prese</w:t>
      </w:r>
      <w:r>
        <w:rPr>
          <w:rFonts w:ascii="Arial Narrow" w:hAnsi="Arial Narrow"/>
          <w:color w:val="000000" w:themeColor="text1"/>
          <w:sz w:val="24"/>
          <w:szCs w:val="24"/>
        </w:rPr>
        <w:t>ntación personal de las mismas.</w:t>
      </w:r>
    </w:p>
    <w:p w:rsidR="00AA3BD4" w:rsidRPr="00AA3BD4" w:rsidRDefault="00AA3BD4" w:rsidP="00AA3BD4">
      <w:pPr>
        <w:rPr>
          <w:rFonts w:ascii="Arial Narrow" w:hAnsi="Arial Narrow"/>
          <w:b/>
          <w:color w:val="000000" w:themeColor="text1"/>
          <w:sz w:val="24"/>
          <w:szCs w:val="24"/>
        </w:rPr>
      </w:pPr>
      <w:r>
        <w:rPr>
          <w:rFonts w:ascii="Arial Narrow" w:hAnsi="Arial Narrow"/>
          <w:b/>
          <w:color w:val="000000" w:themeColor="text1"/>
          <w:sz w:val="24"/>
          <w:szCs w:val="24"/>
        </w:rPr>
        <w:t>OBSERVACIONES</w:t>
      </w:r>
    </w:p>
    <w:p w:rsidR="00AA3BD4" w:rsidRPr="00AA3BD4" w:rsidRDefault="00AA3BD4" w:rsidP="00AA3BD4">
      <w:pPr>
        <w:jc w:val="both"/>
        <w:rPr>
          <w:rFonts w:ascii="Arial Narrow" w:hAnsi="Arial Narrow"/>
          <w:color w:val="000000" w:themeColor="text1"/>
          <w:sz w:val="24"/>
          <w:szCs w:val="24"/>
        </w:rPr>
      </w:pPr>
      <w:r w:rsidRPr="00AA3BD4">
        <w:rPr>
          <w:rFonts w:ascii="Arial Narrow" w:hAnsi="Arial Narrow"/>
          <w:color w:val="000000" w:themeColor="text1"/>
          <w:sz w:val="24"/>
          <w:szCs w:val="24"/>
        </w:rPr>
        <w:t>Una vez declarada la disolución, la sociedad solamente debe desarrollar las actividades encaminadas a su inmediata liquidación.</w:t>
      </w:r>
    </w:p>
    <w:p w:rsidR="00AA3BD4" w:rsidRPr="00AA3BD4" w:rsidRDefault="00AA3BD4" w:rsidP="00AA3BD4">
      <w:pPr>
        <w:jc w:val="both"/>
        <w:rPr>
          <w:rFonts w:ascii="Arial Narrow" w:hAnsi="Arial Narrow"/>
          <w:color w:val="000000" w:themeColor="text1"/>
          <w:sz w:val="24"/>
          <w:szCs w:val="24"/>
        </w:rPr>
      </w:pPr>
      <w:r w:rsidRPr="00AA3BD4">
        <w:rPr>
          <w:rFonts w:ascii="Arial Narrow" w:hAnsi="Arial Narrow"/>
          <w:color w:val="000000" w:themeColor="text1"/>
          <w:sz w:val="24"/>
          <w:szCs w:val="24"/>
        </w:rPr>
        <w:t>A partir de la declaratoria de disolución, al nombre de la sociedad deberá adicionarse la expresión “en liquidación”.</w:t>
      </w:r>
    </w:p>
    <w:p w:rsidR="00AA3BD4" w:rsidRPr="00AA3BD4" w:rsidRDefault="00AA3BD4" w:rsidP="00AA3BD4">
      <w:pPr>
        <w:jc w:val="both"/>
        <w:rPr>
          <w:rFonts w:ascii="Arial Narrow" w:hAnsi="Arial Narrow"/>
          <w:color w:val="000000" w:themeColor="text1"/>
          <w:sz w:val="24"/>
          <w:szCs w:val="24"/>
        </w:rPr>
      </w:pPr>
      <w:r w:rsidRPr="00AA3BD4">
        <w:rPr>
          <w:rFonts w:ascii="Arial Narrow" w:hAnsi="Arial Narrow"/>
          <w:color w:val="000000" w:themeColor="text1"/>
          <w:sz w:val="24"/>
          <w:szCs w:val="24"/>
        </w:rPr>
        <w:t>Si la sociedad que se va a liquidar no ha cumplido con la obligación legal de renovar la matrícula mercantil, deberá previamente a la inscripción del documento que contenga la liquidación, cancelar los derechos correspondientes a los años no renovados.</w:t>
      </w:r>
    </w:p>
    <w:p w:rsidR="00AA3BD4" w:rsidRPr="00AA3BD4" w:rsidRDefault="00AA3BD4" w:rsidP="00AA3BD4">
      <w:pPr>
        <w:jc w:val="both"/>
        <w:rPr>
          <w:rFonts w:ascii="Arial Narrow" w:hAnsi="Arial Narrow"/>
          <w:color w:val="000000" w:themeColor="text1"/>
          <w:sz w:val="24"/>
          <w:szCs w:val="24"/>
        </w:rPr>
      </w:pPr>
      <w:r w:rsidRPr="00AA3BD4">
        <w:rPr>
          <w:rFonts w:ascii="Arial Narrow" w:hAnsi="Arial Narrow"/>
          <w:color w:val="000000" w:themeColor="text1"/>
          <w:sz w:val="24"/>
          <w:szCs w:val="24"/>
        </w:rPr>
        <w:t>Si la sociedad que se liquida posee establecimientos de comercio matriculados, que no van a ser cerrados, deberán adjudicarse en el acta de liquidación; de lo contrario, deberá hacer la solicitud expresa de cancelación de la matrícula de los establecimientos de comercio por medio de documento privado suscrito por el representante legal.</w:t>
      </w: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lastRenderedPageBreak/>
        <w:t>REACTIVACIÓN DE UNA EMPRESA EN ESTADO DE LIQUIDACIÓN</w:t>
      </w:r>
    </w:p>
    <w:p w:rsidR="00AA3BD4" w:rsidRPr="00AA3BD4" w:rsidRDefault="00AA3BD4" w:rsidP="00AA3BD4">
      <w:pPr>
        <w:rPr>
          <w:rFonts w:ascii="Arial Narrow" w:hAnsi="Arial Narrow"/>
          <w:b/>
          <w:color w:val="000000" w:themeColor="text1"/>
          <w:sz w:val="24"/>
          <w:szCs w:val="24"/>
        </w:rPr>
      </w:pPr>
    </w:p>
    <w:p w:rsidR="00AA3BD4" w:rsidRDefault="00AA3BD4" w:rsidP="00AA3BD4">
      <w:pPr>
        <w:pStyle w:val="Sinespaciado"/>
      </w:pPr>
      <w:r w:rsidRPr="00AA3BD4">
        <w:t>La ley 1429 del 29 de diciembre de 2010, prevé que las sociedades y sucursales de sociedades extranjeras, en cualquier momento posterior a la iniciación de la liquidación, puedan reactivarse, siempre que el pasivo externo no supere el 70% de los activos sociales y que no se haya iniciado la distribución de los remanentes a los asociados.</w:t>
      </w:r>
    </w:p>
    <w:p w:rsidR="00AA3BD4" w:rsidRDefault="00AA3BD4" w:rsidP="00AA3BD4">
      <w:pPr>
        <w:pStyle w:val="Sinespaciado"/>
      </w:pPr>
    </w:p>
    <w:p w:rsidR="00AA3BD4" w:rsidRPr="00AA3BD4" w:rsidRDefault="00AA3BD4" w:rsidP="00AA3BD4">
      <w:pPr>
        <w:pStyle w:val="Sinespaciado"/>
      </w:pPr>
      <w:r w:rsidRPr="00AA3BD4">
        <w:t xml:space="preserve">La decisión de reactivación se aprobará por el órgano social competente de conformidad con los estatutos, con la mayoría prevista en los mismos o ley. </w:t>
      </w:r>
    </w:p>
    <w:p w:rsidR="00AA3BD4" w:rsidRDefault="00AA3BD4" w:rsidP="00AA3BD4">
      <w:pPr>
        <w:pStyle w:val="Sinespaciado"/>
      </w:pPr>
      <w:r w:rsidRPr="00AA3BD4">
        <w:t>Se deberá presentar para registro en la Cámara de Comercio del domicilio social, el acta donde conste la decisión de reactivación, con el lleno de requisitos formales que la ley establece (Artículo 189 Código de Comercio).</w:t>
      </w:r>
    </w:p>
    <w:p w:rsidR="00AA3BD4" w:rsidRPr="00AA3BD4" w:rsidRDefault="00AA3BD4" w:rsidP="00AA3BD4">
      <w:pPr>
        <w:pStyle w:val="Sinespaciado"/>
      </w:pPr>
    </w:p>
    <w:p w:rsidR="00AA3BD4" w:rsidRPr="00AA3BD4" w:rsidRDefault="00AA3BD4" w:rsidP="00AA3BD4">
      <w:pPr>
        <w:pStyle w:val="Sinespaciado"/>
      </w:pPr>
      <w:r w:rsidRPr="00AA3BD4">
        <w:t>En los casos en que la sociedad haya estado en disolución por efectos del vencimiento del término y esté solicitando la reactivación, deberá también constar dentro del acta de manera expresa la nueva fecha de vencimiento del término, así como su aprobación por</w:t>
      </w:r>
      <w:r>
        <w:t xml:space="preserve"> parte del órgano que se reúne.</w:t>
      </w:r>
    </w:p>
    <w:p w:rsidR="00AA3BD4" w:rsidRPr="00AA3BD4" w:rsidRDefault="00AA3BD4" w:rsidP="00AA3BD4">
      <w:pPr>
        <w:rPr>
          <w:rFonts w:ascii="Arial Narrow" w:hAnsi="Arial Narrow"/>
          <w:b/>
          <w:color w:val="000000" w:themeColor="text1"/>
          <w:sz w:val="24"/>
          <w:szCs w:val="24"/>
        </w:rPr>
      </w:pPr>
      <w:r w:rsidRPr="00AA3BD4">
        <w:rPr>
          <w:rFonts w:ascii="Arial Narrow" w:hAnsi="Arial Narrow"/>
          <w:b/>
          <w:color w:val="000000" w:themeColor="text1"/>
          <w:sz w:val="24"/>
          <w:szCs w:val="24"/>
        </w:rPr>
        <w:t xml:space="preserve">COSTO DE LA INSCRIPCIÓN </w:t>
      </w:r>
    </w:p>
    <w:p w:rsidR="00AA3BD4" w:rsidRPr="00AA3BD4"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Para proceder a realizar la inscripción de la disolución y liquidación de la sociedad, se deberá cancelar los derechos que la inscripción origina (Artículo 45 del C. Co).</w:t>
      </w:r>
    </w:p>
    <w:p w:rsidR="00AA3BD4" w:rsidRPr="00AA3BD4"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De manera adicional se causa un impuesto de registro a favor de la Gobernaci</w:t>
      </w:r>
      <w:r>
        <w:rPr>
          <w:rFonts w:ascii="Arial Narrow" w:hAnsi="Arial Narrow"/>
          <w:color w:val="000000" w:themeColor="text1"/>
          <w:sz w:val="24"/>
          <w:szCs w:val="24"/>
        </w:rPr>
        <w:t>ón de Nariño</w:t>
      </w:r>
      <w:r w:rsidRPr="00AA3BD4">
        <w:rPr>
          <w:rFonts w:ascii="Arial Narrow" w:hAnsi="Arial Narrow"/>
          <w:color w:val="000000" w:themeColor="text1"/>
          <w:sz w:val="24"/>
          <w:szCs w:val="24"/>
        </w:rPr>
        <w:t>, el cual corresponde a una tarifa del 0.7% sobre el valor correspondiente de los remanentes a distribuir en la liquidación.</w:t>
      </w:r>
    </w:p>
    <w:p w:rsidR="000A2E03" w:rsidRPr="00AA3BD4" w:rsidRDefault="00AA3BD4" w:rsidP="00AA3BD4">
      <w:pPr>
        <w:rPr>
          <w:rFonts w:ascii="Arial Narrow" w:hAnsi="Arial Narrow"/>
          <w:color w:val="000000" w:themeColor="text1"/>
          <w:sz w:val="24"/>
          <w:szCs w:val="24"/>
        </w:rPr>
      </w:pPr>
      <w:r w:rsidRPr="00AA3BD4">
        <w:rPr>
          <w:rFonts w:ascii="Arial Narrow" w:hAnsi="Arial Narrow"/>
          <w:color w:val="000000" w:themeColor="text1"/>
          <w:sz w:val="24"/>
          <w:szCs w:val="24"/>
        </w:rPr>
        <w:t>En caso que se adjudique en la repartición de remanentes bienes inmuebles, el impuesto de registro deberá ser cancelado directamente en la gobernación que corresponda según la ubicación del inmueble, y se deberá adjuntar constancia del pago de dicho impuesto.</w:t>
      </w:r>
    </w:p>
    <w:p w:rsidR="0098426B" w:rsidRPr="00CE20BA" w:rsidRDefault="005F7B9F" w:rsidP="00CE20BA">
      <w:pPr>
        <w:rPr>
          <w:rFonts w:ascii="Arial Narrow" w:hAnsi="Arial Narrow"/>
          <w:color w:val="000000" w:themeColor="text1"/>
          <w:sz w:val="24"/>
          <w:szCs w:val="24"/>
        </w:rPr>
      </w:pPr>
      <w:r>
        <w:rPr>
          <w:rFonts w:ascii="Arial Narrow" w:hAnsi="Arial Narrow"/>
          <w:color w:val="000000" w:themeColor="text1"/>
          <w:sz w:val="24"/>
          <w:szCs w:val="24"/>
        </w:rPr>
        <w:t>DOCUMENTACION PARA</w:t>
      </w:r>
      <w:r w:rsidR="00021FC5">
        <w:rPr>
          <w:rFonts w:ascii="Arial Narrow" w:hAnsi="Arial Narrow"/>
          <w:color w:val="000000" w:themeColor="text1"/>
          <w:sz w:val="24"/>
          <w:szCs w:val="24"/>
        </w:rPr>
        <w:t xml:space="preserve"> REGISTRO EN CAMARA DE COMERCIO</w:t>
      </w:r>
    </w:p>
    <w:p w:rsidR="00361CF4" w:rsidRPr="009C0BD5" w:rsidRDefault="009C0BD5" w:rsidP="00AA3BD4">
      <w:pPr>
        <w:pStyle w:val="Sinespaciado"/>
        <w:numPr>
          <w:ilvl w:val="0"/>
          <w:numId w:val="5"/>
        </w:numPr>
      </w:pPr>
      <w:r>
        <w:t xml:space="preserve">Presente  los  documentos ante </w:t>
      </w:r>
      <w:r w:rsidR="00361CF4" w:rsidRPr="009C0BD5">
        <w:t xml:space="preserve"> la</w:t>
      </w:r>
      <w:r w:rsidR="00021FC5">
        <w:t xml:space="preserve"> cámara de comercio de Ipiales  según el registro que desea realizar.</w:t>
      </w:r>
    </w:p>
    <w:p w:rsidR="00032E0D" w:rsidRPr="00CE20BA" w:rsidRDefault="00032E0D" w:rsidP="00CE20BA">
      <w:pPr>
        <w:pStyle w:val="Sinespaciado"/>
        <w:numPr>
          <w:ilvl w:val="0"/>
          <w:numId w:val="5"/>
        </w:numPr>
      </w:pPr>
      <w:r>
        <w:t>Consulte su est</w:t>
      </w:r>
      <w:r w:rsidR="00AA3BD4">
        <w:t xml:space="preserve">ado de trámite, ingrese a </w:t>
      </w:r>
      <w:hyperlink r:id="rId8" w:history="1">
        <w:r w:rsidR="00AA3BD4" w:rsidRPr="00212FEF">
          <w:rPr>
            <w:rStyle w:val="Hipervnculo"/>
          </w:rPr>
          <w:t>www.ccipiales.org.co</w:t>
        </w:r>
      </w:hyperlink>
      <w:r w:rsidR="00AA3BD4">
        <w:t xml:space="preserve">    en la opción E</w:t>
      </w:r>
      <w:r>
        <w:t xml:space="preserve">stado de </w:t>
      </w:r>
      <w:r w:rsidR="009C0BD5">
        <w:t>trámite</w:t>
      </w: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F76F4A"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w:t>
            </w:r>
            <w:r w:rsidR="009C0BD5">
              <w:rPr>
                <w:rFonts w:ascii="Arial Narrow" w:hAnsi="Arial Narrow" w:cs="Arial"/>
                <w:color w:val="000000" w:themeColor="text1"/>
              </w:rPr>
              <w:t xml:space="preserve">   ) </w:t>
            </w:r>
            <w:r w:rsidR="00021FC5">
              <w:rPr>
                <w:rFonts w:ascii="Arial Narrow" w:hAnsi="Arial Narrow" w:cs="Arial"/>
                <w:color w:val="000000" w:themeColor="text1"/>
              </w:rPr>
              <w:t xml:space="preserve">entregar acta </w:t>
            </w:r>
            <w:r w:rsidR="00CE20BA">
              <w:rPr>
                <w:rFonts w:ascii="Arial Narrow" w:hAnsi="Arial Narrow" w:cs="Arial"/>
                <w:color w:val="000000" w:themeColor="text1"/>
              </w:rPr>
              <w:t xml:space="preserve"> </w:t>
            </w:r>
            <w:r>
              <w:rPr>
                <w:rFonts w:ascii="Arial Narrow" w:hAnsi="Arial Narrow" w:cs="Arial"/>
                <w:color w:val="000000" w:themeColor="text1"/>
              </w:rPr>
              <w:t>en las ventanillas de la entidad.</w:t>
            </w:r>
          </w:p>
          <w:p w:rsidR="009C0BD5" w:rsidRDefault="00CE20BA" w:rsidP="00361CF4">
            <w:pPr>
              <w:spacing w:after="225"/>
              <w:textAlignment w:val="baseline"/>
              <w:rPr>
                <w:rFonts w:ascii="Arial Narrow" w:hAnsi="Arial Narrow" w:cs="Arial"/>
                <w:color w:val="000000" w:themeColor="text1"/>
              </w:rPr>
            </w:pPr>
            <w:r>
              <w:rPr>
                <w:rFonts w:ascii="Arial Narrow" w:hAnsi="Arial Narrow" w:cs="Arial"/>
                <w:color w:val="000000" w:themeColor="text1"/>
              </w:rPr>
              <w:t>2</w:t>
            </w:r>
            <w:r w:rsidR="009C0BD5">
              <w:rPr>
                <w:rFonts w:ascii="Arial Narrow" w:hAnsi="Arial Narrow" w:cs="Arial"/>
                <w:color w:val="000000" w:themeColor="text1"/>
              </w:rPr>
              <w:t xml:space="preserve">. (  ) </w:t>
            </w:r>
            <w:r w:rsidR="00F76F4A">
              <w:rPr>
                <w:rFonts w:ascii="Arial Narrow" w:hAnsi="Arial Narrow" w:cs="Arial"/>
                <w:color w:val="000000" w:themeColor="text1"/>
              </w:rPr>
              <w:t xml:space="preserve">pagar el impuesto de registro en el módulo de Gobernación  de Nariño </w:t>
            </w:r>
            <w:r w:rsidR="00AD7542">
              <w:rPr>
                <w:rFonts w:ascii="Arial Narrow" w:hAnsi="Arial Narrow" w:cs="Arial"/>
                <w:color w:val="000000" w:themeColor="text1"/>
              </w:rPr>
              <w:t>o en ventanilla Unica</w:t>
            </w:r>
            <w:bookmarkStart w:id="0" w:name="_GoBack"/>
            <w:bookmarkEnd w:id="0"/>
          </w:p>
          <w:p w:rsidR="00E1265A" w:rsidRDefault="00CE20BA" w:rsidP="00F76F4A">
            <w:pPr>
              <w:spacing w:after="225"/>
              <w:textAlignment w:val="baseline"/>
              <w:rPr>
                <w:rFonts w:ascii="Arial Narrow" w:hAnsi="Arial Narrow" w:cs="Arial"/>
                <w:color w:val="000000" w:themeColor="text1"/>
              </w:rPr>
            </w:pPr>
            <w:r>
              <w:rPr>
                <w:rFonts w:ascii="Arial Narrow" w:hAnsi="Arial Narrow" w:cs="Arial"/>
                <w:color w:val="000000" w:themeColor="text1"/>
              </w:rPr>
              <w:t>3</w:t>
            </w:r>
            <w:r w:rsidR="00E1265A">
              <w:rPr>
                <w:rFonts w:ascii="Arial Narrow" w:hAnsi="Arial Narrow" w:cs="Arial"/>
                <w:color w:val="000000" w:themeColor="text1"/>
              </w:rPr>
              <w:t xml:space="preserve">. (  ) pagar los derechos de inscripción </w:t>
            </w:r>
          </w:p>
        </w:tc>
      </w:tr>
    </w:tbl>
    <w:p w:rsidR="00634A0A" w:rsidRPr="00AA3BD4" w:rsidRDefault="00634A0A" w:rsidP="00AA3BD4">
      <w:pPr>
        <w:rPr>
          <w:rFonts w:ascii="Arial Narrow" w:hAnsi="Arial Narrow"/>
          <w:color w:val="000000" w:themeColor="text1"/>
          <w:sz w:val="24"/>
          <w:szCs w:val="24"/>
        </w:rPr>
      </w:pPr>
    </w:p>
    <w:sectPr w:rsidR="00634A0A" w:rsidRPr="00AA3BD4">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6A" w:rsidRDefault="0036346A" w:rsidP="0036346A">
      <w:pPr>
        <w:spacing w:after="0" w:line="240" w:lineRule="auto"/>
      </w:pPr>
      <w:r>
        <w:separator/>
      </w:r>
    </w:p>
  </w:endnote>
  <w:endnote w:type="continuationSeparator" w:id="0">
    <w:p w:rsidR="0036346A" w:rsidRDefault="0036346A" w:rsidP="0036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1924"/>
    </w:tblGrid>
    <w:tr w:rsidR="009A7231" w:rsidTr="009A7231">
      <w:tc>
        <w:tcPr>
          <w:tcW w:w="1924" w:type="dxa"/>
        </w:tcPr>
        <w:p w:rsidR="009A7231" w:rsidRDefault="009A7231" w:rsidP="00542043">
          <w:pPr>
            <w:pStyle w:val="Encabezado"/>
          </w:pPr>
          <w:r>
            <w:t>Versión 02</w:t>
          </w:r>
        </w:p>
      </w:tc>
    </w:tr>
    <w:tr w:rsidR="009A7231" w:rsidTr="009A7231">
      <w:tc>
        <w:tcPr>
          <w:tcW w:w="1924" w:type="dxa"/>
        </w:tcPr>
        <w:p w:rsidR="009A7231" w:rsidRDefault="009A7231" w:rsidP="00542043">
          <w:pPr>
            <w:pStyle w:val="Encabezado"/>
          </w:pPr>
          <w:r>
            <w:t>Inst-6</w:t>
          </w:r>
        </w:p>
      </w:tc>
    </w:tr>
    <w:tr w:rsidR="009A7231" w:rsidTr="009A7231">
      <w:tc>
        <w:tcPr>
          <w:tcW w:w="1924" w:type="dxa"/>
        </w:tcPr>
        <w:p w:rsidR="009A7231" w:rsidRDefault="009A7231" w:rsidP="00542043">
          <w:pPr>
            <w:pStyle w:val="Encabezado"/>
          </w:pPr>
          <w:r>
            <w:t>Fecha: 07/06/2018</w:t>
          </w:r>
        </w:p>
      </w:tc>
    </w:tr>
  </w:tbl>
  <w:p w:rsidR="009A7231" w:rsidRDefault="009A72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6A" w:rsidRDefault="0036346A" w:rsidP="0036346A">
      <w:pPr>
        <w:spacing w:after="0" w:line="240" w:lineRule="auto"/>
      </w:pPr>
      <w:r>
        <w:separator/>
      </w:r>
    </w:p>
  </w:footnote>
  <w:footnote w:type="continuationSeparator" w:id="0">
    <w:p w:rsidR="0036346A" w:rsidRDefault="0036346A" w:rsidP="00363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65F0E77"/>
    <w:multiLevelType w:val="hybridMultilevel"/>
    <w:tmpl w:val="BBBEE5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7E20B07"/>
    <w:multiLevelType w:val="hybridMultilevel"/>
    <w:tmpl w:val="4CB059D8"/>
    <w:lvl w:ilvl="0" w:tplc="AF18A402">
      <w:start w:val="1"/>
      <w:numFmt w:val="bullet"/>
      <w:lvlText w:val=""/>
      <w:lvlJc w:val="left"/>
      <w:pPr>
        <w:ind w:left="720" w:hanging="360"/>
      </w:pPr>
      <w:rPr>
        <w:rFonts w:ascii="Symbol" w:eastAsiaTheme="minorEastAsia"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EF50A5B"/>
    <w:multiLevelType w:val="hybridMultilevel"/>
    <w:tmpl w:val="FB3CD8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12C58"/>
    <w:rsid w:val="00014D83"/>
    <w:rsid w:val="00021FC5"/>
    <w:rsid w:val="00032E0D"/>
    <w:rsid w:val="00046406"/>
    <w:rsid w:val="00046D5C"/>
    <w:rsid w:val="0009088C"/>
    <w:rsid w:val="000A2E03"/>
    <w:rsid w:val="000B30D5"/>
    <w:rsid w:val="000F0E7A"/>
    <w:rsid w:val="00176B3B"/>
    <w:rsid w:val="001F545B"/>
    <w:rsid w:val="00202573"/>
    <w:rsid w:val="0025325A"/>
    <w:rsid w:val="003056EA"/>
    <w:rsid w:val="00361CF4"/>
    <w:rsid w:val="0036346A"/>
    <w:rsid w:val="004034E7"/>
    <w:rsid w:val="00447013"/>
    <w:rsid w:val="0045076B"/>
    <w:rsid w:val="004C5349"/>
    <w:rsid w:val="005F7B9F"/>
    <w:rsid w:val="0062120E"/>
    <w:rsid w:val="00634A0A"/>
    <w:rsid w:val="006454D6"/>
    <w:rsid w:val="00670B8E"/>
    <w:rsid w:val="00684D62"/>
    <w:rsid w:val="006A1AD5"/>
    <w:rsid w:val="006A7D37"/>
    <w:rsid w:val="00775C13"/>
    <w:rsid w:val="00847ACA"/>
    <w:rsid w:val="0098426B"/>
    <w:rsid w:val="009A7231"/>
    <w:rsid w:val="009C0BD5"/>
    <w:rsid w:val="00A97EFB"/>
    <w:rsid w:val="00AA3BD4"/>
    <w:rsid w:val="00AA6519"/>
    <w:rsid w:val="00AD7542"/>
    <w:rsid w:val="00B76E32"/>
    <w:rsid w:val="00BE7363"/>
    <w:rsid w:val="00C62FDC"/>
    <w:rsid w:val="00CC00F9"/>
    <w:rsid w:val="00CE20BA"/>
    <w:rsid w:val="00CE26B2"/>
    <w:rsid w:val="00CF3E26"/>
    <w:rsid w:val="00D466DA"/>
    <w:rsid w:val="00D90B89"/>
    <w:rsid w:val="00DD0B22"/>
    <w:rsid w:val="00E1265A"/>
    <w:rsid w:val="00E30F92"/>
    <w:rsid w:val="00E43832"/>
    <w:rsid w:val="00E473E3"/>
    <w:rsid w:val="00E92605"/>
    <w:rsid w:val="00F31205"/>
    <w:rsid w:val="00F47224"/>
    <w:rsid w:val="00F76F4A"/>
    <w:rsid w:val="00FC52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46A"/>
    <w:rPr>
      <w:rFonts w:eastAsiaTheme="minorEastAsia"/>
      <w:lang w:eastAsia="es-CO"/>
    </w:rPr>
  </w:style>
  <w:style w:type="paragraph" w:styleId="Piedepgina">
    <w:name w:val="footer"/>
    <w:basedOn w:val="Normal"/>
    <w:link w:val="PiedepginaCar"/>
    <w:uiPriority w:val="99"/>
    <w:unhideWhenUsed/>
    <w:rsid w:val="00363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46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4</Pages>
  <Words>1612</Words>
  <Characters>8869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24</cp:revision>
  <dcterms:created xsi:type="dcterms:W3CDTF">2017-12-11T20:58:00Z</dcterms:created>
  <dcterms:modified xsi:type="dcterms:W3CDTF">2019-05-05T02:44:00Z</dcterms:modified>
</cp:coreProperties>
</file>