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5" w:rsidRPr="00F76805" w:rsidRDefault="00CB3903"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 xml:space="preserve">REGISTRO DE FUSION </w:t>
      </w:r>
    </w:p>
    <w:p w:rsidR="00CA145A" w:rsidRPr="00CA145A" w:rsidRDefault="00CA145A" w:rsidP="00CA145A">
      <w:pPr>
        <w:pStyle w:val="Sinespaciado"/>
        <w:jc w:val="both"/>
        <w:rPr>
          <w:rFonts w:ascii="Arial Narrow" w:hAnsi="Arial Narrow"/>
          <w:color w:val="000000" w:themeColor="text1"/>
          <w:sz w:val="24"/>
          <w:szCs w:val="24"/>
        </w:rPr>
      </w:pPr>
    </w:p>
    <w:p w:rsidR="00EE3510" w:rsidRPr="00CB3903" w:rsidRDefault="00CB3903" w:rsidP="00EE3510">
      <w:pPr>
        <w:pStyle w:val="Sinespaciado"/>
        <w:jc w:val="both"/>
        <w:rPr>
          <w:rFonts w:ascii="Arial Narrow" w:hAnsi="Arial Narrow"/>
          <w:color w:val="000000" w:themeColor="text1"/>
          <w:sz w:val="24"/>
          <w:szCs w:val="24"/>
        </w:rPr>
      </w:pPr>
      <w:r w:rsidRPr="00CB3903">
        <w:rPr>
          <w:rFonts w:ascii="Arial Narrow" w:hAnsi="Arial Narrow"/>
          <w:color w:val="000000" w:themeColor="text1"/>
          <w:sz w:val="24"/>
          <w:szCs w:val="24"/>
        </w:rPr>
        <w:t xml:space="preserve">La fusión es una reforma estatutaria en la cual una o más sociedades se disuelven sin liquidarse, para ser absorbidas por otra  o para crear una nueva. La absorbente o nueva compañía adquirirá el derecho y obligaciones de la sociedad o sociedades disueltas al formalizarse  el compromiso de fusión. </w:t>
      </w:r>
    </w:p>
    <w:p w:rsidR="00EE3510" w:rsidRPr="00EE3510" w:rsidRDefault="00EE3510" w:rsidP="00EE3510">
      <w:pPr>
        <w:pStyle w:val="Sinespaciado"/>
        <w:jc w:val="both"/>
        <w:rPr>
          <w:rFonts w:ascii="Arial Narrow" w:hAnsi="Arial Narrow"/>
          <w:color w:val="000000" w:themeColor="text1"/>
          <w:sz w:val="24"/>
          <w:szCs w:val="24"/>
        </w:rPr>
      </w:pPr>
    </w:p>
    <w:p w:rsidR="00EE3510" w:rsidRDefault="00396DF7" w:rsidP="00EE3510">
      <w:pPr>
        <w:pStyle w:val="Sinespaciado"/>
        <w:jc w:val="both"/>
        <w:rPr>
          <w:rFonts w:ascii="Arial Narrow" w:hAnsi="Arial Narrow"/>
          <w:b/>
          <w:color w:val="000000" w:themeColor="text1"/>
          <w:sz w:val="24"/>
          <w:szCs w:val="24"/>
        </w:rPr>
      </w:pPr>
      <w:r>
        <w:rPr>
          <w:rFonts w:ascii="Arial Narrow" w:hAnsi="Arial Narrow"/>
          <w:b/>
          <w:color w:val="000000" w:themeColor="text1"/>
          <w:sz w:val="24"/>
          <w:szCs w:val="24"/>
        </w:rPr>
        <w:t>Recuerde que para radicar su documento, debe portar su cedula de ciudadanía o de extranjería original vigente, ya que, será necesaria para cualquier trámite.</w:t>
      </w:r>
    </w:p>
    <w:p w:rsidR="00396DF7" w:rsidRDefault="00396DF7" w:rsidP="00EE3510">
      <w:pPr>
        <w:pStyle w:val="Sinespaciado"/>
        <w:jc w:val="both"/>
        <w:rPr>
          <w:rFonts w:ascii="Arial Narrow" w:hAnsi="Arial Narrow"/>
          <w:b/>
          <w:color w:val="000000" w:themeColor="text1"/>
          <w:sz w:val="24"/>
          <w:szCs w:val="24"/>
        </w:rPr>
      </w:pPr>
    </w:p>
    <w:p w:rsidR="00EE3510" w:rsidRDefault="00396DF7" w:rsidP="00EE3510">
      <w:pPr>
        <w:pStyle w:val="Sinespaciado"/>
        <w:jc w:val="both"/>
        <w:rPr>
          <w:rFonts w:ascii="Arial Narrow" w:hAnsi="Arial Narrow"/>
          <w:b/>
          <w:color w:val="000000" w:themeColor="text1"/>
          <w:sz w:val="24"/>
          <w:szCs w:val="24"/>
        </w:rPr>
      </w:pPr>
      <w:r>
        <w:rPr>
          <w:rFonts w:ascii="Arial Narrow" w:hAnsi="Arial Narrow"/>
          <w:b/>
          <w:color w:val="000000" w:themeColor="text1"/>
          <w:sz w:val="24"/>
          <w:szCs w:val="24"/>
        </w:rPr>
        <w:t xml:space="preserve">Requisitos para su inscripción </w:t>
      </w:r>
    </w:p>
    <w:p w:rsidR="00396DF7" w:rsidRDefault="00396DF7" w:rsidP="00EE3510">
      <w:pPr>
        <w:pStyle w:val="Sinespaciado"/>
        <w:jc w:val="both"/>
        <w:rPr>
          <w:rFonts w:ascii="Arial Narrow" w:hAnsi="Arial Narrow"/>
          <w:b/>
          <w:color w:val="000000" w:themeColor="text1"/>
          <w:sz w:val="24"/>
          <w:szCs w:val="24"/>
        </w:rPr>
      </w:pPr>
    </w:p>
    <w:p w:rsidR="00396DF7" w:rsidRPr="00A80040" w:rsidRDefault="00396DF7" w:rsidP="00396DF7">
      <w:pPr>
        <w:pStyle w:val="Sinespaciado"/>
        <w:numPr>
          <w:ilvl w:val="0"/>
          <w:numId w:val="14"/>
        </w:numPr>
        <w:jc w:val="both"/>
        <w:rPr>
          <w:rFonts w:ascii="Arial Narrow" w:hAnsi="Arial Narrow"/>
          <w:color w:val="000000" w:themeColor="text1"/>
          <w:sz w:val="24"/>
          <w:szCs w:val="24"/>
        </w:rPr>
      </w:pPr>
      <w:r w:rsidRPr="00A80040">
        <w:rPr>
          <w:rFonts w:ascii="Arial Narrow" w:hAnsi="Arial Narrow"/>
          <w:color w:val="000000" w:themeColor="text1"/>
          <w:sz w:val="24"/>
          <w:szCs w:val="24"/>
        </w:rPr>
        <w:t>Copia autentica de la escritura mediante la cual se formaliza el compromiso de fusión, suscrito por los representantes legales de la sociedades participantes en las que se insertaran los siguientes documentos (art. 177 del código de comercio):</w:t>
      </w:r>
    </w:p>
    <w:p w:rsidR="00396DF7" w:rsidRPr="00A80040" w:rsidRDefault="00396DF7"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 xml:space="preserve">Acta o actas en donde conste el compromiso de fusión y la aprobación por las sociedades que participen en el acuerdo. Consulte la guía para elaboración de actas </w:t>
      </w:r>
      <w:r w:rsidR="002F6CB5" w:rsidRPr="00A80040">
        <w:rPr>
          <w:rFonts w:ascii="Arial Narrow" w:hAnsi="Arial Narrow"/>
          <w:color w:val="000000" w:themeColor="text1"/>
          <w:sz w:val="24"/>
          <w:szCs w:val="24"/>
        </w:rPr>
        <w:t xml:space="preserve">en </w:t>
      </w:r>
      <w:hyperlink r:id="rId8" w:history="1">
        <w:r w:rsidR="00A80040" w:rsidRPr="00A80040">
          <w:rPr>
            <w:rStyle w:val="Hipervnculo"/>
            <w:rFonts w:ascii="Arial Narrow" w:hAnsi="Arial Narrow"/>
            <w:sz w:val="24"/>
            <w:szCs w:val="24"/>
          </w:rPr>
          <w:t>www.ccipiales.org.co</w:t>
        </w:r>
      </w:hyperlink>
    </w:p>
    <w:p w:rsidR="00A80040" w:rsidRPr="00A80040" w:rsidRDefault="00A80040"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Los motivos de la proyectada fusión y las condiciones en que se realizara.</w:t>
      </w:r>
    </w:p>
    <w:p w:rsidR="00A80040" w:rsidRPr="00A80040" w:rsidRDefault="00A80040"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Los datos y cifras, tomados de los libros de contabilidad de las sociedades interesadas, que hubieren servido de base para establecer las condiciones en que se realizara la fusión.</w:t>
      </w:r>
    </w:p>
    <w:p w:rsidR="00A80040" w:rsidRPr="00A80040" w:rsidRDefault="00A80040"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La discriminación y valorización de los activos y pasivos de las sociedades que serán absorbidas y de la absorbente.</w:t>
      </w:r>
    </w:p>
    <w:p w:rsidR="00A80040" w:rsidRPr="00A80040" w:rsidRDefault="00A80040"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Un anexo explicativo de los métodos de evaluación utilizados, y del intercambio de partes de interés, cuotas o acciones que implicara la operación.</w:t>
      </w:r>
    </w:p>
    <w:p w:rsidR="00A80040" w:rsidRDefault="00A80040" w:rsidP="00396DF7">
      <w:pPr>
        <w:pStyle w:val="Sinespaciado"/>
        <w:numPr>
          <w:ilvl w:val="0"/>
          <w:numId w:val="15"/>
        </w:numPr>
        <w:jc w:val="both"/>
        <w:rPr>
          <w:rFonts w:ascii="Arial Narrow" w:hAnsi="Arial Narrow"/>
          <w:color w:val="000000" w:themeColor="text1"/>
          <w:sz w:val="24"/>
          <w:szCs w:val="24"/>
        </w:rPr>
      </w:pPr>
      <w:r w:rsidRPr="00A80040">
        <w:rPr>
          <w:rFonts w:ascii="Arial Narrow" w:hAnsi="Arial Narrow"/>
          <w:color w:val="000000" w:themeColor="text1"/>
          <w:sz w:val="24"/>
          <w:szCs w:val="24"/>
        </w:rPr>
        <w:t>Copias certificadas de los estados financieros de las sociedades</w:t>
      </w:r>
      <w:r>
        <w:rPr>
          <w:rFonts w:ascii="Arial Narrow" w:hAnsi="Arial Narrow"/>
          <w:color w:val="000000" w:themeColor="text1"/>
          <w:sz w:val="24"/>
          <w:szCs w:val="24"/>
        </w:rPr>
        <w:t xml:space="preserve"> participantes.</w:t>
      </w:r>
    </w:p>
    <w:p w:rsidR="00A80040" w:rsidRDefault="00A80040" w:rsidP="00396DF7">
      <w:pPr>
        <w:pStyle w:val="Sinespaciado"/>
        <w:numPr>
          <w:ilvl w:val="0"/>
          <w:numId w:val="15"/>
        </w:numPr>
        <w:jc w:val="both"/>
        <w:rPr>
          <w:rFonts w:ascii="Arial Narrow" w:hAnsi="Arial Narrow"/>
          <w:color w:val="000000" w:themeColor="text1"/>
          <w:sz w:val="24"/>
          <w:szCs w:val="24"/>
        </w:rPr>
      </w:pPr>
      <w:r>
        <w:rPr>
          <w:rFonts w:ascii="Arial Narrow" w:hAnsi="Arial Narrow"/>
          <w:color w:val="000000" w:themeColor="text1"/>
          <w:sz w:val="24"/>
          <w:szCs w:val="24"/>
        </w:rPr>
        <w:t>El permiso de fusión en los casos exigidos por las normas sobre prácticas comerciales restrictivas.</w:t>
      </w:r>
    </w:p>
    <w:p w:rsidR="00A80040" w:rsidRDefault="00A80040" w:rsidP="00396DF7">
      <w:pPr>
        <w:pStyle w:val="Sinespaciado"/>
        <w:numPr>
          <w:ilvl w:val="0"/>
          <w:numId w:val="15"/>
        </w:numPr>
        <w:jc w:val="both"/>
        <w:rPr>
          <w:rFonts w:ascii="Arial Narrow" w:hAnsi="Arial Narrow"/>
          <w:color w:val="000000" w:themeColor="text1"/>
          <w:sz w:val="24"/>
          <w:szCs w:val="24"/>
        </w:rPr>
      </w:pPr>
      <w:r>
        <w:rPr>
          <w:rFonts w:ascii="Arial Narrow" w:hAnsi="Arial Narrow"/>
          <w:color w:val="000000" w:themeColor="text1"/>
          <w:sz w:val="24"/>
          <w:szCs w:val="24"/>
        </w:rPr>
        <w:t xml:space="preserve">Tratándose de sociedades controladas (art. 85 de ley 222 de </w:t>
      </w:r>
      <w:r w:rsidR="00DF366F">
        <w:rPr>
          <w:rFonts w:ascii="Arial Narrow" w:hAnsi="Arial Narrow"/>
          <w:color w:val="000000" w:themeColor="text1"/>
          <w:sz w:val="24"/>
          <w:szCs w:val="24"/>
        </w:rPr>
        <w:t>1995,</w:t>
      </w:r>
      <w:r>
        <w:rPr>
          <w:rFonts w:ascii="Arial Narrow" w:hAnsi="Arial Narrow"/>
          <w:color w:val="000000" w:themeColor="text1"/>
          <w:sz w:val="24"/>
          <w:szCs w:val="24"/>
        </w:rPr>
        <w:t xml:space="preserve"> la aprobación oficial del avalúo de los bienes </w:t>
      </w:r>
      <w:r w:rsidR="00DF366F">
        <w:rPr>
          <w:rFonts w:ascii="Arial Narrow" w:hAnsi="Arial Narrow"/>
          <w:color w:val="000000" w:themeColor="text1"/>
          <w:sz w:val="24"/>
          <w:szCs w:val="24"/>
        </w:rPr>
        <w:t>en especie que haya de recibir la absorbente o la nueva sociedad.</w:t>
      </w:r>
    </w:p>
    <w:p w:rsidR="00DF366F" w:rsidRPr="00A80040" w:rsidRDefault="00DF366F" w:rsidP="00396DF7">
      <w:pPr>
        <w:pStyle w:val="Sinespaciado"/>
        <w:numPr>
          <w:ilvl w:val="0"/>
          <w:numId w:val="15"/>
        </w:numPr>
        <w:jc w:val="both"/>
        <w:rPr>
          <w:rFonts w:ascii="Arial Narrow" w:hAnsi="Arial Narrow"/>
          <w:color w:val="000000" w:themeColor="text1"/>
          <w:sz w:val="24"/>
          <w:szCs w:val="24"/>
        </w:rPr>
      </w:pPr>
      <w:r>
        <w:rPr>
          <w:rFonts w:ascii="Arial Narrow" w:hAnsi="Arial Narrow"/>
          <w:color w:val="000000" w:themeColor="text1"/>
          <w:sz w:val="24"/>
          <w:szCs w:val="24"/>
        </w:rPr>
        <w:t xml:space="preserve">Si fuere el caso, el permiso de la superintendencia para colocar las acciones o determinar </w:t>
      </w: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9"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1F066A">
              <w:rPr>
                <w:rFonts w:ascii="Arial Narrow" w:hAnsi="Arial Narrow" w:cs="Arial"/>
                <w:color w:val="000000" w:themeColor="text1"/>
              </w:rPr>
              <w:t xml:space="preserve">contrato de Preposición </w:t>
            </w:r>
            <w:r w:rsidR="000709E0">
              <w:rPr>
                <w:rFonts w:ascii="Arial Narrow" w:hAnsi="Arial Narrow" w:cs="Arial"/>
                <w:color w:val="000000" w:themeColor="text1"/>
              </w:rPr>
              <w:t xml:space="preserve"> </w:t>
            </w:r>
            <w:r w:rsidR="009158FE">
              <w:rPr>
                <w:rFonts w:ascii="Arial Narrow" w:hAnsi="Arial Narrow" w:cs="Arial"/>
                <w:color w:val="000000" w:themeColor="text1"/>
              </w:rPr>
              <w:t xml:space="preserve"> </w:t>
            </w:r>
            <w:r w:rsidR="006A2599">
              <w:rPr>
                <w:rFonts w:ascii="Arial Narrow" w:hAnsi="Arial Narrow" w:cs="Arial"/>
                <w:color w:val="000000" w:themeColor="text1"/>
              </w:rPr>
              <w:t xml:space="preserve">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9C0BD5" w:rsidRDefault="006A2599" w:rsidP="00361CF4">
            <w:p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2</w:t>
            </w:r>
            <w:r w:rsidR="009C0BD5">
              <w:rPr>
                <w:rFonts w:ascii="Arial Narrow" w:hAnsi="Arial Narrow" w:cs="Arial"/>
                <w:color w:val="000000" w:themeColor="text1"/>
              </w:rPr>
              <w:t xml:space="preserve">. (  ) </w:t>
            </w:r>
            <w:r w:rsidR="00F76F4A">
              <w:rPr>
                <w:rFonts w:ascii="Arial Narrow" w:hAnsi="Arial Narrow" w:cs="Arial"/>
                <w:color w:val="000000" w:themeColor="text1"/>
              </w:rPr>
              <w:t>pagar el impuesto de registro en el módulo de Gobernación  de Nariño</w:t>
            </w:r>
            <w:r w:rsidR="009367D2">
              <w:rPr>
                <w:rFonts w:ascii="Arial Narrow" w:hAnsi="Arial Narrow" w:cs="Arial"/>
                <w:color w:val="000000" w:themeColor="text1"/>
              </w:rPr>
              <w:t xml:space="preserve"> o </w:t>
            </w:r>
            <w:bookmarkStart w:id="0" w:name="_GoBack"/>
            <w:bookmarkEnd w:id="0"/>
            <w:r w:rsidR="00F76F4A">
              <w:rPr>
                <w:rFonts w:ascii="Arial Narrow" w:hAnsi="Arial Narrow" w:cs="Arial"/>
                <w:color w:val="000000" w:themeColor="text1"/>
              </w:rPr>
              <w:t xml:space="preserve"> </w:t>
            </w:r>
            <w:r w:rsidR="009367D2">
              <w:rPr>
                <w:rFonts w:ascii="Arial Narrow" w:hAnsi="Arial Narrow" w:cs="Arial"/>
                <w:color w:val="000000" w:themeColor="text1"/>
              </w:rPr>
              <w:t>ventanilla Unica</w:t>
            </w:r>
          </w:p>
          <w:p w:rsidR="00E1265A" w:rsidRDefault="006A2599" w:rsidP="00F76F4A">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B3262D" w:rsidTr="00B3262D">
      <w:tc>
        <w:tcPr>
          <w:tcW w:w="1924" w:type="dxa"/>
        </w:tcPr>
        <w:p w:rsidR="00B3262D" w:rsidRDefault="00B3262D" w:rsidP="009D40EF">
          <w:pPr>
            <w:pStyle w:val="Encabezado"/>
          </w:pPr>
          <w:r>
            <w:t>Versión 02</w:t>
          </w:r>
        </w:p>
      </w:tc>
    </w:tr>
    <w:tr w:rsidR="00B3262D" w:rsidTr="00B3262D">
      <w:tc>
        <w:tcPr>
          <w:tcW w:w="1924" w:type="dxa"/>
        </w:tcPr>
        <w:p w:rsidR="00B3262D" w:rsidRDefault="00B3262D" w:rsidP="009D40EF">
          <w:pPr>
            <w:pStyle w:val="Encabezado"/>
          </w:pPr>
          <w:r>
            <w:t>Inst-15</w:t>
          </w:r>
        </w:p>
      </w:tc>
    </w:tr>
    <w:tr w:rsidR="00B3262D" w:rsidTr="00B3262D">
      <w:tc>
        <w:tcPr>
          <w:tcW w:w="1924" w:type="dxa"/>
        </w:tcPr>
        <w:p w:rsidR="00B3262D" w:rsidRDefault="00B3262D" w:rsidP="009D40EF">
          <w:pPr>
            <w:pStyle w:val="Encabezado"/>
          </w:pPr>
          <w:r>
            <w:t>Fecha: 07/06/2018</w:t>
          </w:r>
        </w:p>
      </w:tc>
    </w:tr>
  </w:tbl>
  <w:p w:rsidR="00B3262D" w:rsidRDefault="00B326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8E12E4"/>
    <w:multiLevelType w:val="hybridMultilevel"/>
    <w:tmpl w:val="EA346B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15C0E74"/>
    <w:multiLevelType w:val="hybridMultilevel"/>
    <w:tmpl w:val="40044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E27894"/>
    <w:multiLevelType w:val="hybridMultilevel"/>
    <w:tmpl w:val="129AED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53B464B"/>
    <w:multiLevelType w:val="hybridMultilevel"/>
    <w:tmpl w:val="C01EC6C0"/>
    <w:lvl w:ilvl="0" w:tplc="3AF8A6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340B5C"/>
    <w:multiLevelType w:val="hybridMultilevel"/>
    <w:tmpl w:val="EFAEA1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431339B"/>
    <w:multiLevelType w:val="hybridMultilevel"/>
    <w:tmpl w:val="2004BAE2"/>
    <w:lvl w:ilvl="0" w:tplc="CDDC18C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FA37F0A"/>
    <w:multiLevelType w:val="hybridMultilevel"/>
    <w:tmpl w:val="D52443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5A73AF"/>
    <w:multiLevelType w:val="hybridMultilevel"/>
    <w:tmpl w:val="7DC2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0"/>
  </w:num>
  <w:num w:numId="5">
    <w:abstractNumId w:val="6"/>
  </w:num>
  <w:num w:numId="6">
    <w:abstractNumId w:val="0"/>
  </w:num>
  <w:num w:numId="7">
    <w:abstractNumId w:val="11"/>
  </w:num>
  <w:num w:numId="8">
    <w:abstractNumId w:val="2"/>
  </w:num>
  <w:num w:numId="9">
    <w:abstractNumId w:val="13"/>
  </w:num>
  <w:num w:numId="10">
    <w:abstractNumId w:val="5"/>
  </w:num>
  <w:num w:numId="11">
    <w:abstractNumId w:val="4"/>
  </w:num>
  <w:num w:numId="12">
    <w:abstractNumId w:val="3"/>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709E0"/>
    <w:rsid w:val="0009088C"/>
    <w:rsid w:val="000A2E03"/>
    <w:rsid w:val="000B30D5"/>
    <w:rsid w:val="000F0E7A"/>
    <w:rsid w:val="00120EB5"/>
    <w:rsid w:val="00146E5E"/>
    <w:rsid w:val="00176B3B"/>
    <w:rsid w:val="001F066A"/>
    <w:rsid w:val="001F545B"/>
    <w:rsid w:val="00202573"/>
    <w:rsid w:val="0025325A"/>
    <w:rsid w:val="002F6CB5"/>
    <w:rsid w:val="003056EA"/>
    <w:rsid w:val="00361CF4"/>
    <w:rsid w:val="0036346A"/>
    <w:rsid w:val="00396DF7"/>
    <w:rsid w:val="004034E7"/>
    <w:rsid w:val="00447013"/>
    <w:rsid w:val="0045076B"/>
    <w:rsid w:val="004635A5"/>
    <w:rsid w:val="004C5349"/>
    <w:rsid w:val="005F7B9F"/>
    <w:rsid w:val="0062120E"/>
    <w:rsid w:val="00634A0A"/>
    <w:rsid w:val="006454D6"/>
    <w:rsid w:val="00670B8E"/>
    <w:rsid w:val="006855D6"/>
    <w:rsid w:val="006A1AD5"/>
    <w:rsid w:val="006A2599"/>
    <w:rsid w:val="006A7D37"/>
    <w:rsid w:val="00751A89"/>
    <w:rsid w:val="00774C0D"/>
    <w:rsid w:val="00775C13"/>
    <w:rsid w:val="00847ACA"/>
    <w:rsid w:val="009158FE"/>
    <w:rsid w:val="009367D2"/>
    <w:rsid w:val="009603E6"/>
    <w:rsid w:val="0098426B"/>
    <w:rsid w:val="009C0BD5"/>
    <w:rsid w:val="00A80040"/>
    <w:rsid w:val="00A97EFB"/>
    <w:rsid w:val="00AA6519"/>
    <w:rsid w:val="00AB0FC3"/>
    <w:rsid w:val="00B3262D"/>
    <w:rsid w:val="00B76E32"/>
    <w:rsid w:val="00BE7363"/>
    <w:rsid w:val="00C62FDC"/>
    <w:rsid w:val="00CA145A"/>
    <w:rsid w:val="00CB3903"/>
    <w:rsid w:val="00CC00F9"/>
    <w:rsid w:val="00CE26B2"/>
    <w:rsid w:val="00CF3E26"/>
    <w:rsid w:val="00D466DA"/>
    <w:rsid w:val="00D90B89"/>
    <w:rsid w:val="00DD0B22"/>
    <w:rsid w:val="00DF366F"/>
    <w:rsid w:val="00E1265A"/>
    <w:rsid w:val="00E157E5"/>
    <w:rsid w:val="00E30F92"/>
    <w:rsid w:val="00E43832"/>
    <w:rsid w:val="00E473E3"/>
    <w:rsid w:val="00E92605"/>
    <w:rsid w:val="00EE3510"/>
    <w:rsid w:val="00F31205"/>
    <w:rsid w:val="00F47224"/>
    <w:rsid w:val="00F616B5"/>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ipiales.org.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2</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35</cp:revision>
  <dcterms:created xsi:type="dcterms:W3CDTF">2017-12-11T20:58:00Z</dcterms:created>
  <dcterms:modified xsi:type="dcterms:W3CDTF">2019-05-05T02:52:00Z</dcterms:modified>
</cp:coreProperties>
</file>