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29FA" w14:textId="77777777" w:rsidR="004936F0" w:rsidRDefault="004936F0" w:rsidP="00541992">
      <w:pPr>
        <w:rPr>
          <w:lang w:val="es-CO"/>
        </w:rPr>
      </w:pPr>
    </w:p>
    <w:p w14:paraId="4DD3273D" w14:textId="77777777" w:rsidR="00541992" w:rsidRPr="00EA757B" w:rsidRDefault="00541992" w:rsidP="00541992">
      <w:pPr>
        <w:ind w:hanging="2"/>
        <w:jc w:val="center"/>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CONVOCATORIA JÓVENES EN CIENCIA PARA LA PAZ CAPITULO </w:t>
      </w:r>
      <w:r>
        <w:rPr>
          <w:rFonts w:ascii="Arial Narrow" w:eastAsia="Arial Narrow" w:hAnsi="Arial Narrow" w:cs="Arial Narrow"/>
          <w:b/>
          <w:sz w:val="24"/>
          <w:szCs w:val="24"/>
        </w:rPr>
        <w:t>IPIALES</w:t>
      </w:r>
    </w:p>
    <w:p w14:paraId="389535BD" w14:textId="77777777" w:rsidR="00541992" w:rsidRPr="00EA757B" w:rsidRDefault="00541992" w:rsidP="00541992">
      <w:pPr>
        <w:pBdr>
          <w:top w:val="nil"/>
          <w:left w:val="nil"/>
          <w:bottom w:val="nil"/>
          <w:right w:val="nil"/>
          <w:between w:val="nil"/>
        </w:pBdr>
        <w:shd w:val="clear" w:color="auto" w:fill="FFFFFF"/>
        <w:ind w:right="95" w:hanging="2"/>
        <w:jc w:val="center"/>
        <w:rPr>
          <w:rFonts w:ascii="Arial Narrow" w:eastAsia="Arial Narrow" w:hAnsi="Arial Narrow" w:cs="Arial Narrow"/>
          <w:b/>
          <w:sz w:val="24"/>
          <w:szCs w:val="24"/>
        </w:rPr>
      </w:pPr>
      <w:r w:rsidRPr="00EA757B">
        <w:rPr>
          <w:rFonts w:ascii="Arial Narrow" w:eastAsia="Arial Narrow" w:hAnsi="Arial Narrow" w:cs="Arial Narrow"/>
          <w:b/>
          <w:sz w:val="24"/>
          <w:szCs w:val="24"/>
        </w:rPr>
        <w:t>ANEXO 3 – LINEAMIENTOS DE PROPIEDAD INTELECTUAL (PI)</w:t>
      </w:r>
    </w:p>
    <w:p w14:paraId="4F3B60B0" w14:textId="77777777" w:rsidR="00541992" w:rsidRPr="00EA757B" w:rsidRDefault="00541992" w:rsidP="00541992">
      <w:pPr>
        <w:spacing w:after="0" w:line="240" w:lineRule="auto"/>
        <w:jc w:val="both"/>
        <w:rPr>
          <w:rFonts w:ascii="Arial Narrow" w:eastAsia="Arial Narrow" w:hAnsi="Arial Narrow" w:cs="Arial Narrow"/>
          <w:color w:val="000000"/>
          <w:sz w:val="24"/>
          <w:szCs w:val="24"/>
        </w:rPr>
      </w:pPr>
    </w:p>
    <w:p w14:paraId="33F90F4A" w14:textId="77777777" w:rsidR="00541992" w:rsidRPr="00EA757B" w:rsidRDefault="00541992" w:rsidP="00541992">
      <w:p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Nombre de la Propuesta: </w:t>
      </w:r>
    </w:p>
    <w:p w14:paraId="5C68CC6D" w14:textId="77777777" w:rsidR="00541992" w:rsidRPr="00EA757B" w:rsidRDefault="00541992" w:rsidP="00541992">
      <w:pPr>
        <w:spacing w:after="0" w:line="240" w:lineRule="auto"/>
        <w:jc w:val="both"/>
        <w:rPr>
          <w:rFonts w:ascii="Arial Narrow" w:eastAsia="Arial Narrow" w:hAnsi="Arial Narrow" w:cs="Arial Narrow"/>
          <w:b/>
          <w:sz w:val="24"/>
          <w:szCs w:val="24"/>
        </w:rPr>
      </w:pPr>
    </w:p>
    <w:p w14:paraId="3B77582D" w14:textId="77777777" w:rsidR="00541992" w:rsidRPr="00EA757B" w:rsidRDefault="00541992" w:rsidP="00541992">
      <w:p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o equipo de jóvenes ejecutor</w:t>
      </w:r>
      <w:r>
        <w:rPr>
          <w:rFonts w:ascii="Arial Narrow" w:eastAsia="Arial Narrow" w:hAnsi="Arial Narrow" w:cs="Arial Narrow"/>
          <w:b/>
          <w:sz w:val="24"/>
          <w:szCs w:val="24"/>
        </w:rPr>
        <w:t xml:space="preserve"> (es)</w:t>
      </w:r>
      <w:r w:rsidRPr="00EA757B">
        <w:rPr>
          <w:rFonts w:ascii="Arial Narrow" w:eastAsia="Arial Narrow" w:hAnsi="Arial Narrow" w:cs="Arial Narrow"/>
          <w:b/>
          <w:sz w:val="24"/>
          <w:szCs w:val="24"/>
        </w:rPr>
        <w:t>:</w:t>
      </w:r>
    </w:p>
    <w:p w14:paraId="7E9B4F06" w14:textId="77777777" w:rsidR="0082118D" w:rsidRDefault="0082118D" w:rsidP="00541992">
      <w:pPr>
        <w:spacing w:after="0" w:line="240" w:lineRule="auto"/>
        <w:jc w:val="both"/>
        <w:rPr>
          <w:rFonts w:ascii="Arial Narrow" w:eastAsia="Arial Narrow" w:hAnsi="Arial Narrow" w:cs="Arial Narrow"/>
          <w:b/>
          <w:sz w:val="24"/>
          <w:szCs w:val="24"/>
        </w:rPr>
      </w:pPr>
    </w:p>
    <w:p w14:paraId="506E7755" w14:textId="6F287848" w:rsidR="00541992" w:rsidRPr="00EA757B" w:rsidRDefault="00541992" w:rsidP="00541992">
      <w:p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Fecha: </w:t>
      </w:r>
    </w:p>
    <w:p w14:paraId="3E81E3AE" w14:textId="77777777" w:rsidR="00541992" w:rsidRPr="00EA757B" w:rsidRDefault="00541992" w:rsidP="00541992">
      <w:pPr>
        <w:spacing w:after="0" w:line="240" w:lineRule="auto"/>
        <w:jc w:val="both"/>
        <w:rPr>
          <w:rFonts w:ascii="Arial Narrow" w:eastAsia="Arial Narrow" w:hAnsi="Arial Narrow" w:cs="Arial Narrow"/>
          <w:b/>
          <w:sz w:val="24"/>
          <w:szCs w:val="24"/>
        </w:rPr>
      </w:pPr>
    </w:p>
    <w:p w14:paraId="180850A5" w14:textId="77777777" w:rsidR="00541992" w:rsidRDefault="00541992" w:rsidP="00541992">
      <w:pPr>
        <w:pStyle w:val="Prrafodelista"/>
        <w:numPr>
          <w:ilvl w:val="0"/>
          <w:numId w:val="6"/>
        </w:numPr>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Objeto y alcance</w:t>
      </w:r>
    </w:p>
    <w:p w14:paraId="120A99E5" w14:textId="77777777" w:rsidR="00541992" w:rsidRPr="00EA757B" w:rsidRDefault="00541992" w:rsidP="00541992">
      <w:pPr>
        <w:pStyle w:val="Prrafodelista"/>
        <w:spacing w:after="0" w:line="240" w:lineRule="auto"/>
        <w:jc w:val="both"/>
        <w:rPr>
          <w:rFonts w:ascii="Arial Narrow" w:eastAsia="Arial Narrow" w:hAnsi="Arial Narrow" w:cs="Arial Narrow"/>
          <w:b/>
          <w:sz w:val="24"/>
          <w:szCs w:val="24"/>
        </w:rPr>
      </w:pPr>
    </w:p>
    <w:p w14:paraId="3BBE9266" w14:textId="775E2831" w:rsidR="00541992" w:rsidRPr="00EA757B" w:rsidRDefault="00541992" w:rsidP="00541992">
      <w:pPr>
        <w:spacing w:after="0" w:line="276" w:lineRule="auto"/>
        <w:ind w:left="360"/>
        <w:jc w:val="both"/>
        <w:rPr>
          <w:rFonts w:ascii="Arial Narrow" w:hAnsi="Arial Narrow"/>
          <w:iCs/>
          <w:sz w:val="24"/>
          <w:szCs w:val="24"/>
        </w:rPr>
      </w:pPr>
      <w:r w:rsidRPr="00EA757B">
        <w:rPr>
          <w:rFonts w:ascii="Arial Narrow" w:hAnsi="Arial Narrow"/>
          <w:iCs/>
          <w:sz w:val="24"/>
          <w:szCs w:val="24"/>
        </w:rPr>
        <w:t xml:space="preserve">El presente Anexo establece las reglas aplicables a la creación, protección, </w:t>
      </w:r>
      <w:r w:rsidR="002601BA">
        <w:rPr>
          <w:rFonts w:ascii="Arial Narrow" w:hAnsi="Arial Narrow"/>
          <w:iCs/>
          <w:sz w:val="24"/>
          <w:szCs w:val="24"/>
        </w:rPr>
        <w:t xml:space="preserve">identificación, </w:t>
      </w:r>
      <w:r w:rsidRPr="00EA757B">
        <w:rPr>
          <w:rFonts w:ascii="Arial Narrow" w:hAnsi="Arial Narrow"/>
          <w:iCs/>
          <w:sz w:val="24"/>
          <w:szCs w:val="24"/>
        </w:rPr>
        <w:t xml:space="preserve">explotación y transferencia de los derechos de Propiedad Intelectual (PI) que puedan generarse durante la ejecución de la propuesta seleccionada en la Convocatoria </w:t>
      </w:r>
      <w:r w:rsidRPr="00EA757B">
        <w:rPr>
          <w:rFonts w:ascii="Arial Narrow" w:hAnsi="Arial Narrow"/>
          <w:b/>
          <w:bCs/>
          <w:iCs/>
          <w:sz w:val="24"/>
          <w:szCs w:val="24"/>
        </w:rPr>
        <w:t xml:space="preserve">Jóvenes en Ciencia para la Paz – Capítulo </w:t>
      </w:r>
      <w:r>
        <w:rPr>
          <w:rFonts w:ascii="Arial Narrow" w:hAnsi="Arial Narrow"/>
          <w:b/>
          <w:bCs/>
          <w:iCs/>
          <w:sz w:val="24"/>
          <w:szCs w:val="24"/>
        </w:rPr>
        <w:t>Ipiales</w:t>
      </w:r>
      <w:r w:rsidRPr="00EA757B">
        <w:rPr>
          <w:rFonts w:ascii="Arial Narrow" w:hAnsi="Arial Narrow"/>
          <w:b/>
          <w:bCs/>
          <w:iCs/>
          <w:sz w:val="24"/>
          <w:szCs w:val="24"/>
        </w:rPr>
        <w:t xml:space="preserve">. </w:t>
      </w:r>
      <w:r w:rsidRPr="00EA757B">
        <w:rPr>
          <w:rFonts w:ascii="Arial Narrow" w:hAnsi="Arial Narrow"/>
          <w:iCs/>
          <w:sz w:val="24"/>
          <w:szCs w:val="24"/>
        </w:rPr>
        <w:t xml:space="preserve">Su contenido complementa los Términos de Referencia, la Carta de Compromiso (Anexo 1) y la Propuesta de Innovación (Anexo 2). </w:t>
      </w:r>
    </w:p>
    <w:p w14:paraId="19033357" w14:textId="77777777" w:rsidR="00541992" w:rsidRPr="00EA757B" w:rsidRDefault="00541992" w:rsidP="00541992">
      <w:pPr>
        <w:spacing w:after="0" w:line="276" w:lineRule="auto"/>
        <w:jc w:val="both"/>
        <w:rPr>
          <w:rFonts w:ascii="Arial Narrow" w:eastAsia="Arial Narrow" w:hAnsi="Arial Narrow" w:cs="Arial Narrow"/>
          <w:b/>
          <w:sz w:val="24"/>
          <w:szCs w:val="24"/>
        </w:rPr>
      </w:pPr>
    </w:p>
    <w:p w14:paraId="2AD553BE" w14:textId="77777777" w:rsidR="00541992" w:rsidRDefault="00541992" w:rsidP="00541992">
      <w:pPr>
        <w:pStyle w:val="Prrafodelista"/>
        <w:numPr>
          <w:ilvl w:val="0"/>
          <w:numId w:val="6"/>
        </w:numPr>
        <w:autoSpaceDE w:val="0"/>
        <w:autoSpaceDN w:val="0"/>
        <w:adjustRightInd w:val="0"/>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Marco Normativo Aplicable </w:t>
      </w:r>
    </w:p>
    <w:p w14:paraId="54FA7045" w14:textId="77777777" w:rsidR="00541992" w:rsidRPr="00EA757B" w:rsidRDefault="00541992" w:rsidP="00541992">
      <w:pPr>
        <w:pStyle w:val="Prrafodelista"/>
        <w:autoSpaceDE w:val="0"/>
        <w:autoSpaceDN w:val="0"/>
        <w:adjustRightInd w:val="0"/>
        <w:spacing w:after="0" w:line="240" w:lineRule="auto"/>
        <w:jc w:val="both"/>
        <w:rPr>
          <w:rFonts w:ascii="Arial Narrow" w:eastAsia="Arial Narrow" w:hAnsi="Arial Narrow" w:cs="Arial Narrow"/>
          <w:b/>
          <w:sz w:val="24"/>
          <w:szCs w:val="24"/>
        </w:rPr>
      </w:pPr>
    </w:p>
    <w:p w14:paraId="26B1F583" w14:textId="77777777" w:rsidR="00541992" w:rsidRPr="00EA757B" w:rsidRDefault="00541992" w:rsidP="00541992">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Ley 2294 de 2023, art. 170 – Licencias y cesiones de PI financiada con recursos públicos. </w:t>
      </w:r>
    </w:p>
    <w:p w14:paraId="14247264" w14:textId="77777777" w:rsidR="00541992" w:rsidRPr="00EA757B" w:rsidRDefault="00541992" w:rsidP="00541992">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Decisión Andina 486/2000 – Régimen Común de Propiedad Industrial. </w:t>
      </w:r>
    </w:p>
    <w:p w14:paraId="55452AF6" w14:textId="77777777" w:rsidR="00541992" w:rsidRPr="00EA757B" w:rsidRDefault="00541992" w:rsidP="00541992">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Decisión Andina 351/ 1993 – Régimen Común sobre Derecho de Autor y Derechos Conexos. </w:t>
      </w:r>
    </w:p>
    <w:p w14:paraId="598E07E4" w14:textId="77777777" w:rsidR="00541992" w:rsidRPr="00EA757B" w:rsidRDefault="00541992" w:rsidP="00541992">
      <w:pPr>
        <w:pStyle w:val="Prrafodelista"/>
        <w:numPr>
          <w:ilvl w:val="0"/>
          <w:numId w:val="7"/>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Ley 23 de 1982 – Derecho de autor en Colombia. </w:t>
      </w:r>
    </w:p>
    <w:p w14:paraId="38D19E94" w14:textId="6142B793" w:rsidR="00541992" w:rsidRPr="00EA757B" w:rsidRDefault="00541992" w:rsidP="00541992">
      <w:pPr>
        <w:pStyle w:val="Prrafodelista"/>
        <w:numPr>
          <w:ilvl w:val="0"/>
          <w:numId w:val="7"/>
        </w:numPr>
        <w:autoSpaceDE w:val="0"/>
        <w:autoSpaceDN w:val="0"/>
        <w:adjustRightInd w:val="0"/>
        <w:spacing w:after="22" w:line="240"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Demás normas y reglamentación </w:t>
      </w:r>
      <w:r w:rsidR="002601BA">
        <w:rPr>
          <w:rFonts w:ascii="Arial Narrow" w:eastAsia="Arial Narrow" w:hAnsi="Arial Narrow" w:cs="Arial Narrow"/>
          <w:sz w:val="24"/>
          <w:szCs w:val="24"/>
        </w:rPr>
        <w:t xml:space="preserve">nacional e internacional </w:t>
      </w:r>
      <w:r w:rsidRPr="00EA757B">
        <w:rPr>
          <w:rFonts w:ascii="Arial Narrow" w:eastAsia="Arial Narrow" w:hAnsi="Arial Narrow" w:cs="Arial Narrow"/>
          <w:sz w:val="24"/>
          <w:szCs w:val="24"/>
        </w:rPr>
        <w:t xml:space="preserve">que modifiquen o adicionen las anteriores. </w:t>
      </w:r>
    </w:p>
    <w:p w14:paraId="5CBD6B0E" w14:textId="77777777" w:rsidR="00541992" w:rsidRPr="00EA757B" w:rsidRDefault="00541992" w:rsidP="00541992">
      <w:pPr>
        <w:autoSpaceDE w:val="0"/>
        <w:autoSpaceDN w:val="0"/>
        <w:adjustRightInd w:val="0"/>
        <w:spacing w:after="22" w:line="276" w:lineRule="auto"/>
        <w:jc w:val="both"/>
        <w:rPr>
          <w:rFonts w:ascii="Arial Narrow" w:eastAsia="Arial Narrow" w:hAnsi="Arial Narrow" w:cs="Arial Narrow"/>
          <w:sz w:val="24"/>
          <w:szCs w:val="24"/>
        </w:rPr>
      </w:pPr>
    </w:p>
    <w:p w14:paraId="69C0E960" w14:textId="77777777" w:rsidR="00541992" w:rsidRDefault="00541992" w:rsidP="00541992">
      <w:pPr>
        <w:pStyle w:val="Prrafodelista"/>
        <w:numPr>
          <w:ilvl w:val="0"/>
          <w:numId w:val="6"/>
        </w:numPr>
        <w:autoSpaceDE w:val="0"/>
        <w:autoSpaceDN w:val="0"/>
        <w:adjustRightInd w:val="0"/>
        <w:spacing w:after="22" w:line="276"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Titularidad y Derechos Morales</w:t>
      </w:r>
    </w:p>
    <w:p w14:paraId="28C5FA4B" w14:textId="77777777" w:rsidR="00541992" w:rsidRPr="00EA757B" w:rsidRDefault="00541992" w:rsidP="00541992">
      <w:pPr>
        <w:pStyle w:val="Prrafodelista"/>
        <w:autoSpaceDE w:val="0"/>
        <w:autoSpaceDN w:val="0"/>
        <w:adjustRightInd w:val="0"/>
        <w:spacing w:after="22" w:line="276" w:lineRule="auto"/>
        <w:jc w:val="both"/>
        <w:rPr>
          <w:rFonts w:ascii="Arial Narrow" w:eastAsia="Arial Narrow" w:hAnsi="Arial Narrow" w:cs="Arial Narrow"/>
          <w:b/>
          <w:sz w:val="24"/>
          <w:szCs w:val="24"/>
        </w:rPr>
      </w:pPr>
    </w:p>
    <w:p w14:paraId="4E1FD0BC" w14:textId="6745DFC6" w:rsidR="00541992" w:rsidRPr="00EA757B" w:rsidRDefault="00541992" w:rsidP="00541992">
      <w:pPr>
        <w:pStyle w:val="Prrafodelista"/>
        <w:numPr>
          <w:ilvl w:val="1"/>
          <w:numId w:val="6"/>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La titularidad de los derechos patrimoniales sobre los resultados </w:t>
      </w:r>
      <w:r w:rsidR="002601BA">
        <w:rPr>
          <w:rFonts w:ascii="Arial Narrow" w:eastAsia="Arial Narrow" w:hAnsi="Arial Narrow" w:cs="Arial Narrow"/>
          <w:sz w:val="24"/>
          <w:szCs w:val="24"/>
        </w:rPr>
        <w:t xml:space="preserve">susceptibles </w:t>
      </w:r>
      <w:r w:rsidRPr="00EA757B">
        <w:rPr>
          <w:rFonts w:ascii="Arial Narrow" w:eastAsia="Arial Narrow" w:hAnsi="Arial Narrow" w:cs="Arial Narrow"/>
          <w:sz w:val="24"/>
          <w:szCs w:val="24"/>
        </w:rPr>
        <w:t xml:space="preserve">de protección por </w:t>
      </w:r>
      <w:r w:rsidR="002601BA">
        <w:rPr>
          <w:rFonts w:ascii="Arial Narrow" w:eastAsia="Arial Narrow" w:hAnsi="Arial Narrow" w:cs="Arial Narrow"/>
          <w:sz w:val="24"/>
          <w:szCs w:val="24"/>
        </w:rPr>
        <w:t xml:space="preserve">el derecho </w:t>
      </w:r>
      <w:r w:rsidRPr="00EA757B">
        <w:rPr>
          <w:rFonts w:ascii="Arial Narrow" w:eastAsia="Arial Narrow" w:hAnsi="Arial Narrow" w:cs="Arial Narrow"/>
          <w:sz w:val="24"/>
          <w:szCs w:val="24"/>
        </w:rPr>
        <w:t>de Propiedad Intelectual</w:t>
      </w:r>
      <w:r w:rsidR="002601BA">
        <w:rPr>
          <w:rFonts w:ascii="Arial Narrow" w:eastAsia="Arial Narrow" w:hAnsi="Arial Narrow" w:cs="Arial Narrow"/>
          <w:sz w:val="24"/>
          <w:szCs w:val="24"/>
        </w:rPr>
        <w:t>,</w:t>
      </w:r>
      <w:r w:rsidRPr="00EA757B">
        <w:rPr>
          <w:rFonts w:ascii="Arial Narrow" w:eastAsia="Arial Narrow" w:hAnsi="Arial Narrow" w:cs="Arial Narrow"/>
          <w:sz w:val="24"/>
          <w:szCs w:val="24"/>
        </w:rPr>
        <w:t xml:space="preserve"> corresponderá al(los) joven(es) ejecutor(es) del proyecto, salvo </w:t>
      </w:r>
      <w:r w:rsidR="002601BA">
        <w:rPr>
          <w:rFonts w:ascii="Arial Narrow" w:eastAsia="Arial Narrow" w:hAnsi="Arial Narrow" w:cs="Arial Narrow"/>
          <w:sz w:val="24"/>
          <w:szCs w:val="24"/>
        </w:rPr>
        <w:t xml:space="preserve">que se </w:t>
      </w:r>
      <w:r w:rsidRPr="00EA757B">
        <w:rPr>
          <w:rFonts w:ascii="Arial Narrow" w:eastAsia="Arial Narrow" w:hAnsi="Arial Narrow" w:cs="Arial Narrow"/>
          <w:sz w:val="24"/>
          <w:szCs w:val="24"/>
        </w:rPr>
        <w:t>pact</w:t>
      </w:r>
      <w:r w:rsidR="002601BA">
        <w:rPr>
          <w:rFonts w:ascii="Arial Narrow" w:eastAsia="Arial Narrow" w:hAnsi="Arial Narrow" w:cs="Arial Narrow"/>
          <w:sz w:val="24"/>
          <w:szCs w:val="24"/>
        </w:rPr>
        <w:t>en</w:t>
      </w:r>
      <w:r w:rsidRPr="00EA757B">
        <w:rPr>
          <w:rFonts w:ascii="Arial Narrow" w:eastAsia="Arial Narrow" w:hAnsi="Arial Narrow" w:cs="Arial Narrow"/>
          <w:sz w:val="24"/>
          <w:szCs w:val="24"/>
        </w:rPr>
        <w:t xml:space="preserve"> </w:t>
      </w:r>
      <w:r w:rsidR="002601BA">
        <w:rPr>
          <w:rFonts w:ascii="Arial Narrow" w:eastAsia="Arial Narrow" w:hAnsi="Arial Narrow" w:cs="Arial Narrow"/>
          <w:sz w:val="24"/>
          <w:szCs w:val="24"/>
        </w:rPr>
        <w:t xml:space="preserve">condiciones </w:t>
      </w:r>
      <w:r w:rsidRPr="00EA757B">
        <w:rPr>
          <w:rFonts w:ascii="Arial Narrow" w:eastAsia="Arial Narrow" w:hAnsi="Arial Narrow" w:cs="Arial Narrow"/>
          <w:sz w:val="24"/>
          <w:szCs w:val="24"/>
        </w:rPr>
        <w:t>distint</w:t>
      </w:r>
      <w:r w:rsidR="002601BA">
        <w:rPr>
          <w:rFonts w:ascii="Arial Narrow" w:eastAsia="Arial Narrow" w:hAnsi="Arial Narrow" w:cs="Arial Narrow"/>
          <w:sz w:val="24"/>
          <w:szCs w:val="24"/>
        </w:rPr>
        <w:t>as de manera formal</w:t>
      </w:r>
      <w:r w:rsidRPr="00EA757B">
        <w:rPr>
          <w:rFonts w:ascii="Arial Narrow" w:eastAsia="Arial Narrow" w:hAnsi="Arial Narrow" w:cs="Arial Narrow"/>
          <w:sz w:val="24"/>
          <w:szCs w:val="24"/>
        </w:rPr>
        <w:t xml:space="preserve"> entre los integrantes del equipo. La titularidad de los </w:t>
      </w:r>
      <w:r w:rsidR="00BD7F6B" w:rsidRPr="00EA757B">
        <w:rPr>
          <w:rFonts w:ascii="Arial Narrow" w:eastAsia="Arial Narrow" w:hAnsi="Arial Narrow" w:cs="Arial Narrow"/>
          <w:sz w:val="24"/>
          <w:szCs w:val="24"/>
        </w:rPr>
        <w:t>derechos</w:t>
      </w:r>
      <w:r w:rsidRPr="00EA757B">
        <w:rPr>
          <w:rFonts w:ascii="Arial Narrow" w:eastAsia="Arial Narrow" w:hAnsi="Arial Narrow" w:cs="Arial Narrow"/>
          <w:sz w:val="24"/>
          <w:szCs w:val="24"/>
        </w:rPr>
        <w:t xml:space="preserve"> </w:t>
      </w:r>
      <w:r w:rsidR="002601BA">
        <w:rPr>
          <w:rFonts w:ascii="Arial Narrow" w:eastAsia="Arial Narrow" w:hAnsi="Arial Narrow" w:cs="Arial Narrow"/>
          <w:sz w:val="24"/>
          <w:szCs w:val="24"/>
        </w:rPr>
        <w:t xml:space="preserve">patrimoniales </w:t>
      </w:r>
      <w:r w:rsidRPr="00EA757B">
        <w:rPr>
          <w:rFonts w:ascii="Arial Narrow" w:eastAsia="Arial Narrow" w:hAnsi="Arial Narrow" w:cs="Arial Narrow"/>
          <w:sz w:val="24"/>
          <w:szCs w:val="24"/>
        </w:rPr>
        <w:t xml:space="preserve">les corresponderá por el tiempo máximo de protección establecido en la Ley y sin limitación modal, ni territorial alguna. </w:t>
      </w:r>
    </w:p>
    <w:p w14:paraId="35978CB2" w14:textId="77777777" w:rsidR="00541992" w:rsidRPr="00EA757B" w:rsidRDefault="00541992" w:rsidP="00541992">
      <w:pPr>
        <w:pStyle w:val="Prrafodelista"/>
        <w:numPr>
          <w:ilvl w:val="1"/>
          <w:numId w:val="6"/>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 Los derechos morales de autor son inalienables e irrenunciables y deberán ser reconocidos en toda divulgación o explotación de la obra o invención. </w:t>
      </w:r>
    </w:p>
    <w:p w14:paraId="11FD5EAF" w14:textId="77777777" w:rsidR="00541992" w:rsidRPr="00EA757B" w:rsidRDefault="00541992" w:rsidP="00541992">
      <w:pPr>
        <w:pStyle w:val="Prrafodelista"/>
        <w:numPr>
          <w:ilvl w:val="1"/>
          <w:numId w:val="6"/>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eastAsia="Arial Narrow" w:hAnsi="Arial Narrow" w:cs="Arial Narrow"/>
          <w:sz w:val="24"/>
          <w:szCs w:val="24"/>
        </w:rPr>
        <w:t xml:space="preserve"> Las contribuciones de terceros (mentores, consultores, etc.) deberán documentarse por escrito, especificando su alcance y la cesión o licencia que corresponda</w:t>
      </w:r>
    </w:p>
    <w:p w14:paraId="40262722" w14:textId="77777777" w:rsidR="00541992" w:rsidRPr="00EA757B" w:rsidRDefault="00541992" w:rsidP="00541992">
      <w:pPr>
        <w:autoSpaceDE w:val="0"/>
        <w:autoSpaceDN w:val="0"/>
        <w:adjustRightInd w:val="0"/>
        <w:spacing w:after="22" w:line="276" w:lineRule="auto"/>
        <w:jc w:val="both"/>
        <w:rPr>
          <w:rFonts w:ascii="Arial Narrow" w:eastAsia="Arial Narrow" w:hAnsi="Arial Narrow" w:cs="Arial Narrow"/>
          <w:sz w:val="24"/>
          <w:szCs w:val="24"/>
        </w:rPr>
      </w:pPr>
    </w:p>
    <w:p w14:paraId="12B808BD" w14:textId="77777777" w:rsidR="00541992" w:rsidRDefault="00541992" w:rsidP="00541992">
      <w:pPr>
        <w:pStyle w:val="Prrafodelista"/>
        <w:numPr>
          <w:ilvl w:val="0"/>
          <w:numId w:val="6"/>
        </w:numPr>
        <w:autoSpaceDE w:val="0"/>
        <w:autoSpaceDN w:val="0"/>
        <w:adjustRightInd w:val="0"/>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Licencia por interés público a favor del Estado</w:t>
      </w:r>
    </w:p>
    <w:p w14:paraId="3933F5C8" w14:textId="77777777" w:rsidR="00541992" w:rsidRPr="00EA757B" w:rsidRDefault="00541992" w:rsidP="00541992">
      <w:pPr>
        <w:pStyle w:val="Prrafodelista"/>
        <w:autoSpaceDE w:val="0"/>
        <w:autoSpaceDN w:val="0"/>
        <w:adjustRightInd w:val="0"/>
        <w:spacing w:after="0" w:line="240"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lastRenderedPageBreak/>
        <w:t xml:space="preserve"> </w:t>
      </w:r>
    </w:p>
    <w:p w14:paraId="1968B933" w14:textId="57DF27F5" w:rsidR="00541992" w:rsidRPr="00EA757B" w:rsidRDefault="00541992" w:rsidP="00541992">
      <w:pPr>
        <w:autoSpaceDE w:val="0"/>
        <w:autoSpaceDN w:val="0"/>
        <w:adjustRightInd w:val="0"/>
        <w:spacing w:after="22" w:line="276" w:lineRule="auto"/>
        <w:ind w:left="360"/>
        <w:jc w:val="both"/>
        <w:rPr>
          <w:rFonts w:ascii="Arial Narrow" w:eastAsia="Arial Narrow" w:hAnsi="Arial Narrow" w:cs="Arial Narrow"/>
          <w:sz w:val="24"/>
          <w:szCs w:val="24"/>
        </w:rPr>
      </w:pPr>
      <w:r w:rsidRPr="00EA757B">
        <w:rPr>
          <w:rFonts w:ascii="Arial Narrow" w:eastAsia="Arial Narrow" w:hAnsi="Arial Narrow" w:cs="Arial Narrow"/>
          <w:sz w:val="24"/>
          <w:szCs w:val="24"/>
        </w:rPr>
        <w:t>En virtud del artículo 170 de la Ley 2294 de 2023, el Estado, representado por el Ministerio de Ciencia, Tecnología e Innovación (Minciencias)</w:t>
      </w:r>
      <w:r w:rsidR="002601BA">
        <w:rPr>
          <w:rFonts w:ascii="Arial Narrow" w:eastAsia="Arial Narrow" w:hAnsi="Arial Narrow" w:cs="Arial Narrow"/>
          <w:sz w:val="24"/>
          <w:szCs w:val="24"/>
        </w:rPr>
        <w:t xml:space="preserve"> como entidad financiadora</w:t>
      </w:r>
      <w:r w:rsidRPr="00EA757B">
        <w:rPr>
          <w:rFonts w:ascii="Arial Narrow" w:eastAsia="Arial Narrow" w:hAnsi="Arial Narrow" w:cs="Arial Narrow"/>
          <w:sz w:val="24"/>
          <w:szCs w:val="24"/>
        </w:rPr>
        <w:t>,</w:t>
      </w:r>
      <w:r w:rsidR="002601BA">
        <w:rPr>
          <w:rFonts w:ascii="Arial Narrow" w:eastAsia="Arial Narrow" w:hAnsi="Arial Narrow" w:cs="Arial Narrow"/>
          <w:sz w:val="24"/>
          <w:szCs w:val="24"/>
        </w:rPr>
        <w:t xml:space="preserve"> pod</w:t>
      </w:r>
      <w:r w:rsidR="00DB7CAE">
        <w:rPr>
          <w:rFonts w:ascii="Arial Narrow" w:eastAsia="Arial Narrow" w:hAnsi="Arial Narrow" w:cs="Arial Narrow"/>
          <w:sz w:val="24"/>
          <w:szCs w:val="24"/>
        </w:rPr>
        <w:t>rá obtener por motivos de interés público</w:t>
      </w:r>
      <w:r w:rsidRPr="00EA757B">
        <w:rPr>
          <w:rFonts w:ascii="Arial Narrow" w:eastAsia="Arial Narrow" w:hAnsi="Arial Narrow" w:cs="Arial Narrow"/>
          <w:sz w:val="24"/>
          <w:szCs w:val="24"/>
        </w:rPr>
        <w:t xml:space="preserve"> una licencia de uso, no exclusiva, gratuita, irrevocable y válida por la vigencia máxima de los derechos dentro del territorio colombiano. </w:t>
      </w:r>
    </w:p>
    <w:p w14:paraId="61958E33" w14:textId="77777777" w:rsidR="00541992" w:rsidRPr="00EA757B" w:rsidRDefault="00541992" w:rsidP="00541992">
      <w:pPr>
        <w:autoSpaceDE w:val="0"/>
        <w:autoSpaceDN w:val="0"/>
        <w:adjustRightInd w:val="0"/>
        <w:spacing w:after="22" w:line="276" w:lineRule="auto"/>
        <w:jc w:val="both"/>
        <w:rPr>
          <w:rFonts w:ascii="Arial Narrow" w:eastAsia="Arial Narrow" w:hAnsi="Arial Narrow" w:cs="Arial Narrow"/>
          <w:sz w:val="24"/>
          <w:szCs w:val="24"/>
        </w:rPr>
      </w:pPr>
    </w:p>
    <w:p w14:paraId="417D2EF7" w14:textId="77777777" w:rsidR="00541992" w:rsidRDefault="00541992" w:rsidP="00541992">
      <w:pPr>
        <w:pStyle w:val="Prrafodelista"/>
        <w:numPr>
          <w:ilvl w:val="0"/>
          <w:numId w:val="6"/>
        </w:numPr>
        <w:autoSpaceDE w:val="0"/>
        <w:autoSpaceDN w:val="0"/>
        <w:adjustRightInd w:val="0"/>
        <w:spacing w:after="22" w:line="276" w:lineRule="auto"/>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Cesión extraordinaria por Seguridad y Defensa Nacional</w:t>
      </w:r>
    </w:p>
    <w:p w14:paraId="7A7F9DE8" w14:textId="77777777" w:rsidR="00541992" w:rsidRPr="00EA757B" w:rsidRDefault="00541992" w:rsidP="00541992">
      <w:pPr>
        <w:pStyle w:val="Prrafodelista"/>
        <w:autoSpaceDE w:val="0"/>
        <w:autoSpaceDN w:val="0"/>
        <w:adjustRightInd w:val="0"/>
        <w:spacing w:after="22" w:line="276" w:lineRule="auto"/>
        <w:jc w:val="both"/>
        <w:rPr>
          <w:rFonts w:ascii="Arial Narrow" w:eastAsia="Arial Narrow" w:hAnsi="Arial Narrow" w:cs="Arial Narrow"/>
          <w:b/>
          <w:sz w:val="24"/>
          <w:szCs w:val="24"/>
        </w:rPr>
      </w:pPr>
    </w:p>
    <w:p w14:paraId="0CD9C7DE" w14:textId="2388A8F3" w:rsidR="00541992" w:rsidRPr="00EA757B" w:rsidRDefault="00DB7CAE" w:rsidP="00541992">
      <w:pPr>
        <w:autoSpaceDE w:val="0"/>
        <w:autoSpaceDN w:val="0"/>
        <w:adjustRightInd w:val="0"/>
        <w:spacing w:after="22" w:line="276" w:lineRule="auto"/>
        <w:ind w:left="360"/>
        <w:jc w:val="both"/>
        <w:rPr>
          <w:rFonts w:ascii="Arial Narrow" w:eastAsia="Arial Narrow" w:hAnsi="Arial Narrow" w:cs="Arial Narrow"/>
          <w:sz w:val="24"/>
          <w:szCs w:val="24"/>
        </w:rPr>
      </w:pPr>
      <w:r w:rsidRPr="00DB7CAE">
        <w:rPr>
          <w:rFonts w:ascii="Arial Narrow" w:eastAsia="Arial Narrow" w:hAnsi="Arial Narrow" w:cs="Arial Narrow"/>
          <w:sz w:val="24"/>
          <w:szCs w:val="24"/>
        </w:rPr>
        <w:t>Se cumplirá con lo dispuesto, a su vez, con los parágrafos del mencionado artículo 170 de la Ley 2294 de 2023</w:t>
      </w:r>
      <w:r>
        <w:rPr>
          <w:rFonts w:ascii="Arial Narrow" w:eastAsia="Arial Narrow" w:hAnsi="Arial Narrow" w:cs="Arial Narrow"/>
          <w:sz w:val="24"/>
          <w:szCs w:val="24"/>
        </w:rPr>
        <w:t>, que establece que c</w:t>
      </w:r>
      <w:r w:rsidR="00541992" w:rsidRPr="00EA757B">
        <w:rPr>
          <w:rFonts w:ascii="Arial Narrow" w:eastAsia="Arial Narrow" w:hAnsi="Arial Narrow" w:cs="Arial Narrow"/>
          <w:sz w:val="24"/>
          <w:szCs w:val="24"/>
        </w:rPr>
        <w:t xml:space="preserve">uando </w:t>
      </w:r>
      <w:r>
        <w:rPr>
          <w:rFonts w:ascii="Arial Narrow" w:eastAsia="Arial Narrow" w:hAnsi="Arial Narrow" w:cs="Arial Narrow"/>
          <w:sz w:val="24"/>
          <w:szCs w:val="24"/>
        </w:rPr>
        <w:t xml:space="preserve">se den condiciones específicas </w:t>
      </w:r>
      <w:r w:rsidR="00541992" w:rsidRPr="00EA757B">
        <w:rPr>
          <w:rFonts w:ascii="Arial Narrow" w:eastAsia="Arial Narrow" w:hAnsi="Arial Narrow" w:cs="Arial Narrow"/>
          <w:sz w:val="24"/>
          <w:szCs w:val="24"/>
        </w:rPr>
        <w:t>de seguridad o defensa nacional declaradas por la autoridad competente, el titular deberá ceder de manera gratuita y sin limitación alguna los derechos de Propiedad Intelectual al Estado. Las condiciones se definirán en el acto administrativo o contractual que así lo disponga.</w:t>
      </w:r>
    </w:p>
    <w:p w14:paraId="19D5496C" w14:textId="77777777" w:rsidR="00541992" w:rsidRPr="00EA757B" w:rsidRDefault="00541992" w:rsidP="00541992">
      <w:pPr>
        <w:autoSpaceDE w:val="0"/>
        <w:autoSpaceDN w:val="0"/>
        <w:adjustRightInd w:val="0"/>
        <w:spacing w:after="22" w:line="276" w:lineRule="auto"/>
        <w:jc w:val="both"/>
        <w:rPr>
          <w:rFonts w:ascii="Arial Narrow" w:eastAsia="Arial Narrow" w:hAnsi="Arial Narrow" w:cs="Arial Narrow"/>
          <w:sz w:val="24"/>
          <w:szCs w:val="24"/>
        </w:rPr>
      </w:pPr>
    </w:p>
    <w:p w14:paraId="266E696F" w14:textId="77777777" w:rsidR="00541992" w:rsidRPr="00A46790" w:rsidRDefault="00541992" w:rsidP="00541992">
      <w:pPr>
        <w:pStyle w:val="Prrafodelista"/>
        <w:numPr>
          <w:ilvl w:val="0"/>
          <w:numId w:val="6"/>
        </w:numPr>
        <w:autoSpaceDE w:val="0"/>
        <w:autoSpaceDN w:val="0"/>
        <w:adjustRightInd w:val="0"/>
        <w:spacing w:after="22" w:line="276" w:lineRule="auto"/>
        <w:jc w:val="both"/>
        <w:rPr>
          <w:rFonts w:ascii="Arial Narrow" w:eastAsia="Arial Narrow" w:hAnsi="Arial Narrow" w:cs="Arial Narrow"/>
          <w:sz w:val="24"/>
          <w:szCs w:val="24"/>
        </w:rPr>
      </w:pPr>
      <w:r w:rsidRPr="00EA757B">
        <w:rPr>
          <w:rFonts w:ascii="Arial Narrow" w:hAnsi="Arial Narrow" w:cs="Calibri"/>
          <w:b/>
          <w:color w:val="000000"/>
          <w:sz w:val="24"/>
          <w:szCs w:val="24"/>
        </w:rPr>
        <w:t xml:space="preserve">Explotación comercial y retorno económico </w:t>
      </w:r>
      <w:r w:rsidRPr="00EA757B">
        <w:rPr>
          <w:rFonts w:ascii="Arial Narrow" w:hAnsi="Arial Narrow" w:cs="Calibri"/>
          <w:b/>
          <w:color w:val="000000"/>
          <w:sz w:val="24"/>
          <w:szCs w:val="24"/>
        </w:rPr>
        <w:tab/>
      </w:r>
    </w:p>
    <w:p w14:paraId="74CF9FD0" w14:textId="77777777" w:rsidR="00541992" w:rsidRPr="00EA757B" w:rsidRDefault="00541992" w:rsidP="00541992">
      <w:pPr>
        <w:pStyle w:val="Prrafodelista"/>
        <w:autoSpaceDE w:val="0"/>
        <w:autoSpaceDN w:val="0"/>
        <w:adjustRightInd w:val="0"/>
        <w:spacing w:after="22" w:line="276" w:lineRule="auto"/>
        <w:jc w:val="both"/>
        <w:rPr>
          <w:rFonts w:ascii="Arial Narrow" w:eastAsia="Arial Narrow" w:hAnsi="Arial Narrow" w:cs="Arial Narrow"/>
          <w:sz w:val="24"/>
          <w:szCs w:val="24"/>
        </w:rPr>
      </w:pPr>
    </w:p>
    <w:p w14:paraId="52686291" w14:textId="4A00B6F8" w:rsidR="00541992" w:rsidRDefault="00C90CE5" w:rsidP="00C90CE5">
      <w:pPr>
        <w:autoSpaceDE w:val="0"/>
        <w:autoSpaceDN w:val="0"/>
        <w:adjustRightInd w:val="0"/>
        <w:spacing w:after="0" w:line="240" w:lineRule="auto"/>
        <w:ind w:left="360"/>
        <w:jc w:val="both"/>
        <w:rPr>
          <w:rFonts w:ascii="Arial Narrow" w:hAnsi="Arial Narrow" w:cs="Calibri"/>
          <w:iCs/>
          <w:color w:val="000000"/>
          <w:sz w:val="24"/>
          <w:szCs w:val="24"/>
        </w:rPr>
      </w:pPr>
      <w:r w:rsidRPr="00C90CE5">
        <w:rPr>
          <w:rFonts w:ascii="Arial Narrow" w:hAnsi="Arial Narrow" w:cs="Calibri"/>
          <w:iCs/>
          <w:color w:val="000000"/>
          <w:sz w:val="24"/>
          <w:szCs w:val="24"/>
        </w:rPr>
        <w:t xml:space="preserve">En el evento en que se </w:t>
      </w:r>
      <w:r>
        <w:rPr>
          <w:rFonts w:ascii="Arial Narrow" w:hAnsi="Arial Narrow" w:cs="Calibri"/>
          <w:iCs/>
          <w:color w:val="000000"/>
          <w:sz w:val="24"/>
          <w:szCs w:val="24"/>
        </w:rPr>
        <w:t>obtengan beneficios económicos de la explotación de los activos de propiedad intelectual</w:t>
      </w:r>
      <w:r w:rsidRPr="00C90CE5">
        <w:rPr>
          <w:rFonts w:ascii="Arial Narrow" w:hAnsi="Arial Narrow" w:cs="Calibri"/>
          <w:iCs/>
          <w:color w:val="000000"/>
          <w:sz w:val="24"/>
          <w:szCs w:val="24"/>
        </w:rPr>
        <w:t xml:space="preserve"> que se</w:t>
      </w:r>
      <w:r>
        <w:rPr>
          <w:rFonts w:ascii="Arial Narrow" w:hAnsi="Arial Narrow" w:cs="Calibri"/>
          <w:iCs/>
          <w:color w:val="000000"/>
          <w:sz w:val="24"/>
          <w:szCs w:val="24"/>
        </w:rPr>
        <w:t xml:space="preserve"> </w:t>
      </w:r>
      <w:r w:rsidRPr="00C90CE5">
        <w:rPr>
          <w:rFonts w:ascii="Arial Narrow" w:hAnsi="Arial Narrow" w:cs="Calibri"/>
          <w:iCs/>
          <w:color w:val="000000"/>
          <w:sz w:val="24"/>
          <w:szCs w:val="24"/>
        </w:rPr>
        <w:t>obtengan o se pudieran obtener en el marco del desarrollo de la presente convocatoria</w:t>
      </w:r>
      <w:r>
        <w:rPr>
          <w:rFonts w:ascii="Arial Narrow" w:hAnsi="Arial Narrow" w:cs="Calibri"/>
          <w:iCs/>
          <w:color w:val="000000"/>
          <w:sz w:val="24"/>
          <w:szCs w:val="24"/>
        </w:rPr>
        <w:t>,</w:t>
      </w:r>
      <w:r w:rsidRPr="00C90CE5">
        <w:rPr>
          <w:rFonts w:ascii="Arial Narrow" w:hAnsi="Arial Narrow" w:cs="Calibri"/>
          <w:iCs/>
          <w:color w:val="000000"/>
          <w:sz w:val="24"/>
          <w:szCs w:val="24"/>
        </w:rPr>
        <w:t xml:space="preserve"> se </w:t>
      </w:r>
      <w:r>
        <w:rPr>
          <w:rFonts w:ascii="Arial Narrow" w:hAnsi="Arial Narrow" w:cs="Calibri"/>
          <w:iCs/>
          <w:color w:val="000000"/>
          <w:sz w:val="24"/>
          <w:szCs w:val="24"/>
        </w:rPr>
        <w:t xml:space="preserve">tendrá en cuenta al respecto </w:t>
      </w:r>
      <w:r w:rsidRPr="00C90CE5">
        <w:rPr>
          <w:rFonts w:ascii="Arial Narrow" w:hAnsi="Arial Narrow" w:cs="Calibri"/>
          <w:iCs/>
          <w:color w:val="000000"/>
          <w:sz w:val="24"/>
          <w:szCs w:val="24"/>
        </w:rPr>
        <w:t>lo establecido en el artículo 169 de la Ley 1955 de 2019, modificado por el 170 de la Ley</w:t>
      </w:r>
      <w:r>
        <w:rPr>
          <w:rFonts w:ascii="Arial Narrow" w:hAnsi="Arial Narrow" w:cs="Calibri"/>
          <w:iCs/>
          <w:color w:val="000000"/>
          <w:sz w:val="24"/>
          <w:szCs w:val="24"/>
        </w:rPr>
        <w:t xml:space="preserve"> </w:t>
      </w:r>
      <w:r w:rsidRPr="00C90CE5">
        <w:rPr>
          <w:rFonts w:ascii="Arial Narrow" w:hAnsi="Arial Narrow" w:cs="Calibri"/>
          <w:iCs/>
          <w:color w:val="000000"/>
          <w:sz w:val="24"/>
          <w:szCs w:val="24"/>
        </w:rPr>
        <w:t>2294 de 2023</w:t>
      </w:r>
      <w:r>
        <w:rPr>
          <w:rFonts w:ascii="Arial Narrow" w:hAnsi="Arial Narrow" w:cs="Calibri"/>
          <w:iCs/>
          <w:color w:val="000000"/>
          <w:sz w:val="24"/>
          <w:szCs w:val="24"/>
        </w:rPr>
        <w:t>.</w:t>
      </w:r>
    </w:p>
    <w:p w14:paraId="27DCF7E9" w14:textId="77777777" w:rsidR="00C90CE5" w:rsidRPr="00EA757B" w:rsidRDefault="00C90CE5" w:rsidP="00C90CE5">
      <w:pPr>
        <w:autoSpaceDE w:val="0"/>
        <w:autoSpaceDN w:val="0"/>
        <w:adjustRightInd w:val="0"/>
        <w:spacing w:after="0" w:line="240" w:lineRule="auto"/>
        <w:ind w:left="360"/>
        <w:jc w:val="both"/>
        <w:rPr>
          <w:rFonts w:ascii="Arial Narrow" w:hAnsi="Arial Narrow" w:cs="Calibri"/>
          <w:b/>
          <w:color w:val="000000"/>
          <w:sz w:val="24"/>
          <w:szCs w:val="24"/>
        </w:rPr>
      </w:pPr>
    </w:p>
    <w:p w14:paraId="099A333D" w14:textId="77777777" w:rsidR="00541992" w:rsidRDefault="00541992" w:rsidP="00541992">
      <w:pPr>
        <w:pStyle w:val="Prrafodelista"/>
        <w:numPr>
          <w:ilvl w:val="0"/>
          <w:numId w:val="6"/>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Validez de las reglas aún sin registro formal de los derechos de Propiedad Intelectual</w:t>
      </w:r>
    </w:p>
    <w:p w14:paraId="7BAC6779" w14:textId="77777777" w:rsidR="00541992" w:rsidRPr="00EA757B" w:rsidRDefault="00541992" w:rsidP="00F23775">
      <w:pPr>
        <w:pStyle w:val="Prrafodelista"/>
        <w:autoSpaceDE w:val="0"/>
        <w:autoSpaceDN w:val="0"/>
        <w:adjustRightInd w:val="0"/>
        <w:spacing w:after="0" w:line="240" w:lineRule="auto"/>
        <w:jc w:val="both"/>
        <w:rPr>
          <w:rFonts w:ascii="Arial Narrow" w:hAnsi="Arial Narrow" w:cs="Calibri"/>
          <w:b/>
          <w:color w:val="000000"/>
          <w:sz w:val="24"/>
          <w:szCs w:val="24"/>
        </w:rPr>
      </w:pPr>
    </w:p>
    <w:p w14:paraId="200A95A1" w14:textId="20FB93EE" w:rsidR="00541992" w:rsidRPr="00EA757B" w:rsidRDefault="00541992" w:rsidP="00541992">
      <w:pPr>
        <w:autoSpaceDE w:val="0"/>
        <w:autoSpaceDN w:val="0"/>
        <w:adjustRightInd w:val="0"/>
        <w:spacing w:after="0" w:line="240" w:lineRule="auto"/>
        <w:ind w:left="360"/>
        <w:jc w:val="both"/>
        <w:rPr>
          <w:rFonts w:ascii="Arial Narrow" w:hAnsi="Arial Narrow" w:cs="Calibri"/>
          <w:iCs/>
          <w:color w:val="000000"/>
          <w:sz w:val="24"/>
          <w:szCs w:val="24"/>
        </w:rPr>
      </w:pPr>
      <w:r w:rsidRPr="00EA757B">
        <w:rPr>
          <w:rFonts w:ascii="Arial Narrow" w:hAnsi="Arial Narrow" w:cs="Calibri"/>
          <w:iCs/>
          <w:color w:val="000000"/>
          <w:sz w:val="24"/>
          <w:szCs w:val="24"/>
        </w:rPr>
        <w:t xml:space="preserve">Las obligaciones contenidas en los numerales 4, 5 y 6 serán exigibles </w:t>
      </w:r>
      <w:r w:rsidR="00DB7CAE" w:rsidRPr="00EA757B">
        <w:rPr>
          <w:rFonts w:ascii="Arial Narrow" w:hAnsi="Arial Narrow" w:cs="Calibri"/>
          <w:iCs/>
          <w:color w:val="000000"/>
          <w:sz w:val="24"/>
          <w:szCs w:val="24"/>
        </w:rPr>
        <w:t>a</w:t>
      </w:r>
      <w:r w:rsidR="00DB7CAE">
        <w:rPr>
          <w:rFonts w:ascii="Arial Narrow" w:hAnsi="Arial Narrow" w:cs="Calibri"/>
          <w:iCs/>
          <w:color w:val="000000"/>
          <w:sz w:val="24"/>
          <w:szCs w:val="24"/>
        </w:rPr>
        <w:t>un</w:t>
      </w:r>
      <w:r w:rsidRPr="00EA757B">
        <w:rPr>
          <w:rFonts w:ascii="Arial Narrow" w:hAnsi="Arial Narrow" w:cs="Calibri"/>
          <w:iCs/>
          <w:color w:val="000000"/>
          <w:sz w:val="24"/>
          <w:szCs w:val="24"/>
        </w:rPr>
        <w:t xml:space="preserve"> cuando los resultados del proyecto no cumplan los requisitos formales de registrabilidad (originalidad, novedad, nivel inventivo, etc.). Esto incluye prototipos, datos, metodologías, know-how y demás frutos intangibles susceptibles de aprovechamiento social, tecnológico o económico.</w:t>
      </w:r>
    </w:p>
    <w:p w14:paraId="511B00F4" w14:textId="77777777" w:rsidR="00541992" w:rsidRPr="00EA757B" w:rsidRDefault="00541992" w:rsidP="00541992">
      <w:pPr>
        <w:autoSpaceDE w:val="0"/>
        <w:autoSpaceDN w:val="0"/>
        <w:adjustRightInd w:val="0"/>
        <w:spacing w:after="0" w:line="240" w:lineRule="auto"/>
        <w:jc w:val="both"/>
        <w:rPr>
          <w:rFonts w:ascii="Arial Narrow" w:hAnsi="Arial Narrow" w:cs="Calibri"/>
          <w:b/>
          <w:color w:val="000000"/>
          <w:sz w:val="24"/>
          <w:szCs w:val="24"/>
        </w:rPr>
      </w:pPr>
    </w:p>
    <w:p w14:paraId="140064B7" w14:textId="77777777" w:rsidR="00541992" w:rsidRPr="00EA757B" w:rsidRDefault="00541992" w:rsidP="00541992">
      <w:pPr>
        <w:pStyle w:val="Prrafodelista"/>
        <w:numPr>
          <w:ilvl w:val="0"/>
          <w:numId w:val="6"/>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Tipos de resultados y ruta de protección</w:t>
      </w:r>
    </w:p>
    <w:p w14:paraId="6E246C50" w14:textId="77777777" w:rsidR="00541992" w:rsidRPr="00EA757B" w:rsidRDefault="00541992" w:rsidP="00541992">
      <w:pPr>
        <w:autoSpaceDE w:val="0"/>
        <w:autoSpaceDN w:val="0"/>
        <w:adjustRightInd w:val="0"/>
        <w:spacing w:after="0" w:line="240" w:lineRule="auto"/>
        <w:jc w:val="both"/>
        <w:rPr>
          <w:rFonts w:ascii="Arial Narrow" w:hAnsi="Arial Narrow" w:cs="Calibri"/>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2180"/>
        <w:gridCol w:w="2180"/>
        <w:gridCol w:w="3207"/>
      </w:tblGrid>
      <w:tr w:rsidR="00541992" w:rsidRPr="004B59F9" w14:paraId="470A925D" w14:textId="77777777" w:rsidTr="00093AB5">
        <w:trPr>
          <w:trHeight w:val="226"/>
          <w:tblHeader/>
          <w:jc w:val="center"/>
        </w:trPr>
        <w:tc>
          <w:tcPr>
            <w:tcW w:w="2180" w:type="dxa"/>
            <w:vAlign w:val="center"/>
          </w:tcPr>
          <w:p w14:paraId="065C1CDF" w14:textId="77777777" w:rsidR="00541992" w:rsidRPr="004B59F9" w:rsidRDefault="00541992" w:rsidP="00C321EA">
            <w:pPr>
              <w:autoSpaceDE w:val="0"/>
              <w:autoSpaceDN w:val="0"/>
              <w:adjustRightInd w:val="0"/>
              <w:spacing w:after="0" w:line="240" w:lineRule="auto"/>
              <w:jc w:val="center"/>
              <w:rPr>
                <w:rFonts w:ascii="Arial Narrow" w:hAnsi="Arial Narrow" w:cs="Calibri"/>
                <w:color w:val="000000"/>
                <w:sz w:val="24"/>
                <w:szCs w:val="24"/>
              </w:rPr>
            </w:pPr>
            <w:r w:rsidRPr="004B59F9">
              <w:rPr>
                <w:rFonts w:ascii="Arial Narrow" w:hAnsi="Arial Narrow" w:cs="Calibri"/>
                <w:b/>
                <w:bCs/>
                <w:iCs/>
                <w:color w:val="000000"/>
                <w:sz w:val="24"/>
                <w:szCs w:val="24"/>
              </w:rPr>
              <w:t>Resultado esperado</w:t>
            </w:r>
          </w:p>
        </w:tc>
        <w:tc>
          <w:tcPr>
            <w:tcW w:w="2180" w:type="dxa"/>
            <w:vAlign w:val="center"/>
          </w:tcPr>
          <w:p w14:paraId="16CC4864" w14:textId="77777777" w:rsidR="00541992" w:rsidRPr="004B59F9" w:rsidRDefault="00541992" w:rsidP="00C321EA">
            <w:pPr>
              <w:autoSpaceDE w:val="0"/>
              <w:autoSpaceDN w:val="0"/>
              <w:adjustRightInd w:val="0"/>
              <w:spacing w:after="0" w:line="240" w:lineRule="auto"/>
              <w:jc w:val="center"/>
              <w:rPr>
                <w:rFonts w:ascii="Arial Narrow" w:hAnsi="Arial Narrow" w:cs="Calibri"/>
                <w:color w:val="000000"/>
                <w:sz w:val="24"/>
                <w:szCs w:val="24"/>
              </w:rPr>
            </w:pPr>
            <w:r w:rsidRPr="004B59F9">
              <w:rPr>
                <w:rFonts w:ascii="Arial Narrow" w:hAnsi="Arial Narrow" w:cs="Calibri"/>
                <w:b/>
                <w:bCs/>
                <w:iCs/>
                <w:color w:val="000000"/>
                <w:sz w:val="24"/>
                <w:szCs w:val="24"/>
              </w:rPr>
              <w:t>Derecho aplicable</w:t>
            </w:r>
          </w:p>
        </w:tc>
        <w:tc>
          <w:tcPr>
            <w:tcW w:w="2180" w:type="dxa"/>
            <w:vAlign w:val="center"/>
          </w:tcPr>
          <w:p w14:paraId="3601F2B4" w14:textId="77777777" w:rsidR="00541992" w:rsidRPr="004B59F9" w:rsidRDefault="00541992" w:rsidP="00C321EA">
            <w:pPr>
              <w:autoSpaceDE w:val="0"/>
              <w:autoSpaceDN w:val="0"/>
              <w:adjustRightInd w:val="0"/>
              <w:spacing w:after="0" w:line="240" w:lineRule="auto"/>
              <w:jc w:val="center"/>
              <w:rPr>
                <w:rFonts w:ascii="Arial Narrow" w:hAnsi="Arial Narrow" w:cs="Calibri"/>
                <w:color w:val="000000"/>
                <w:sz w:val="24"/>
                <w:szCs w:val="24"/>
              </w:rPr>
            </w:pPr>
            <w:r w:rsidRPr="004B59F9">
              <w:rPr>
                <w:rFonts w:ascii="Arial Narrow" w:hAnsi="Arial Narrow" w:cs="Calibri"/>
                <w:b/>
                <w:bCs/>
                <w:iCs/>
                <w:color w:val="000000"/>
                <w:sz w:val="24"/>
                <w:szCs w:val="24"/>
              </w:rPr>
              <w:t>Requiere registro</w:t>
            </w:r>
          </w:p>
        </w:tc>
        <w:tc>
          <w:tcPr>
            <w:tcW w:w="3207" w:type="dxa"/>
            <w:vAlign w:val="center"/>
          </w:tcPr>
          <w:p w14:paraId="03C8BD15" w14:textId="77777777" w:rsidR="00541992" w:rsidRPr="004B59F9" w:rsidRDefault="00541992" w:rsidP="00C321EA">
            <w:pPr>
              <w:autoSpaceDE w:val="0"/>
              <w:autoSpaceDN w:val="0"/>
              <w:adjustRightInd w:val="0"/>
              <w:spacing w:after="0" w:line="240" w:lineRule="auto"/>
              <w:jc w:val="center"/>
              <w:rPr>
                <w:rFonts w:ascii="Arial Narrow" w:hAnsi="Arial Narrow" w:cs="Calibri"/>
                <w:color w:val="000000"/>
                <w:sz w:val="24"/>
                <w:szCs w:val="24"/>
              </w:rPr>
            </w:pPr>
            <w:r w:rsidRPr="004B59F9">
              <w:rPr>
                <w:rFonts w:ascii="Arial Narrow" w:hAnsi="Arial Narrow" w:cs="Calibri"/>
                <w:b/>
                <w:bCs/>
                <w:iCs/>
                <w:color w:val="000000"/>
                <w:sz w:val="24"/>
                <w:szCs w:val="24"/>
              </w:rPr>
              <w:t>Recomendación práctica</w:t>
            </w:r>
          </w:p>
        </w:tc>
      </w:tr>
      <w:tr w:rsidR="00541992" w:rsidRPr="004B59F9" w14:paraId="5E3AA659" w14:textId="77777777" w:rsidTr="00093AB5">
        <w:trPr>
          <w:trHeight w:val="220"/>
          <w:jc w:val="center"/>
        </w:trPr>
        <w:tc>
          <w:tcPr>
            <w:tcW w:w="2180" w:type="dxa"/>
            <w:vAlign w:val="center"/>
          </w:tcPr>
          <w:p w14:paraId="7B9DDB6A"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Software, apps </w:t>
            </w:r>
          </w:p>
        </w:tc>
        <w:tc>
          <w:tcPr>
            <w:tcW w:w="2180" w:type="dxa"/>
            <w:vAlign w:val="center"/>
          </w:tcPr>
          <w:p w14:paraId="71F76558"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Derecho de autor </w:t>
            </w:r>
          </w:p>
        </w:tc>
        <w:tc>
          <w:tcPr>
            <w:tcW w:w="2180" w:type="dxa"/>
            <w:vAlign w:val="center"/>
          </w:tcPr>
          <w:p w14:paraId="3AF7DA47"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Opcional </w:t>
            </w:r>
          </w:p>
        </w:tc>
        <w:tc>
          <w:tcPr>
            <w:tcW w:w="3207" w:type="dxa"/>
            <w:vAlign w:val="center"/>
          </w:tcPr>
          <w:p w14:paraId="517DB2A1"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Registro voluntario en la DNDA; uso de licencias (MIT, GPL, etc.) según estrategia. </w:t>
            </w:r>
          </w:p>
        </w:tc>
      </w:tr>
      <w:tr w:rsidR="00541992" w:rsidRPr="004B59F9" w14:paraId="5237B51D" w14:textId="77777777" w:rsidTr="00093AB5">
        <w:trPr>
          <w:trHeight w:val="220"/>
          <w:jc w:val="center"/>
        </w:trPr>
        <w:tc>
          <w:tcPr>
            <w:tcW w:w="2180" w:type="dxa"/>
            <w:vAlign w:val="center"/>
          </w:tcPr>
          <w:p w14:paraId="0B0C98B3"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Obras artísticas / audiovisuales </w:t>
            </w:r>
          </w:p>
        </w:tc>
        <w:tc>
          <w:tcPr>
            <w:tcW w:w="2180" w:type="dxa"/>
            <w:vAlign w:val="center"/>
          </w:tcPr>
          <w:p w14:paraId="7D4AC1DF"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Derecho de autor y conexos </w:t>
            </w:r>
          </w:p>
        </w:tc>
        <w:tc>
          <w:tcPr>
            <w:tcW w:w="2180" w:type="dxa"/>
            <w:vAlign w:val="center"/>
          </w:tcPr>
          <w:p w14:paraId="37FC86B7"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Opcional </w:t>
            </w:r>
          </w:p>
        </w:tc>
        <w:tc>
          <w:tcPr>
            <w:tcW w:w="3207" w:type="dxa"/>
            <w:vAlign w:val="center"/>
          </w:tcPr>
          <w:p w14:paraId="6DC8FA50"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Registro en la DNDA para prueba de titularidad. </w:t>
            </w:r>
          </w:p>
        </w:tc>
      </w:tr>
      <w:tr w:rsidR="00541992" w:rsidRPr="004B59F9" w14:paraId="2F8415CB" w14:textId="77777777" w:rsidTr="00093AB5">
        <w:trPr>
          <w:trHeight w:val="221"/>
          <w:jc w:val="center"/>
        </w:trPr>
        <w:tc>
          <w:tcPr>
            <w:tcW w:w="2180" w:type="dxa"/>
            <w:vAlign w:val="center"/>
          </w:tcPr>
          <w:p w14:paraId="3E2C02A9"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Diseños estéticos o funcionales </w:t>
            </w:r>
          </w:p>
        </w:tc>
        <w:tc>
          <w:tcPr>
            <w:tcW w:w="2180" w:type="dxa"/>
            <w:vAlign w:val="center"/>
          </w:tcPr>
          <w:p w14:paraId="396EE12A"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Diseño industrial / derecho de autor </w:t>
            </w:r>
          </w:p>
        </w:tc>
        <w:tc>
          <w:tcPr>
            <w:tcW w:w="2180" w:type="dxa"/>
            <w:vAlign w:val="center"/>
          </w:tcPr>
          <w:p w14:paraId="6DC0E4F1"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Sí </w:t>
            </w:r>
          </w:p>
        </w:tc>
        <w:tc>
          <w:tcPr>
            <w:tcW w:w="3207" w:type="dxa"/>
            <w:vAlign w:val="center"/>
          </w:tcPr>
          <w:p w14:paraId="1C1BE5D8" w14:textId="77777777" w:rsidR="00541992" w:rsidRDefault="00541992" w:rsidP="00C321EA">
            <w:pPr>
              <w:autoSpaceDE w:val="0"/>
              <w:autoSpaceDN w:val="0"/>
              <w:adjustRightInd w:val="0"/>
              <w:spacing w:after="0" w:line="240" w:lineRule="auto"/>
              <w:rPr>
                <w:rFonts w:ascii="Arial Narrow" w:hAnsi="Arial Narrow" w:cs="Calibri"/>
                <w:iCs/>
                <w:color w:val="000000"/>
                <w:sz w:val="24"/>
                <w:szCs w:val="24"/>
              </w:rPr>
            </w:pPr>
            <w:r w:rsidRPr="004B59F9">
              <w:rPr>
                <w:rFonts w:ascii="Arial Narrow" w:hAnsi="Arial Narrow" w:cs="Calibri"/>
                <w:iCs/>
                <w:color w:val="000000"/>
                <w:sz w:val="24"/>
                <w:szCs w:val="24"/>
              </w:rPr>
              <w:t>Solicitud ante la SIC</w:t>
            </w:r>
            <w:r>
              <w:rPr>
                <w:rFonts w:ascii="Arial Narrow" w:hAnsi="Arial Narrow" w:cs="Calibri"/>
                <w:iCs/>
                <w:color w:val="000000"/>
                <w:sz w:val="24"/>
                <w:szCs w:val="24"/>
              </w:rPr>
              <w:t>/</w:t>
            </w:r>
            <w:r w:rsidRPr="004B59F9">
              <w:rPr>
                <w:rFonts w:ascii="Arial Narrow" w:hAnsi="Arial Narrow" w:cs="Calibri"/>
                <w:iCs/>
                <w:color w:val="000000"/>
                <w:sz w:val="24"/>
                <w:szCs w:val="24"/>
              </w:rPr>
              <w:t xml:space="preserve"> </w:t>
            </w:r>
          </w:p>
          <w:p w14:paraId="754D3F58"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Pr>
                <w:rFonts w:ascii="Arial Narrow" w:hAnsi="Arial Narrow" w:cs="Calibri"/>
                <w:iCs/>
                <w:color w:val="000000"/>
                <w:sz w:val="24"/>
                <w:szCs w:val="24"/>
              </w:rPr>
              <w:t>Registro ante la DNDA.</w:t>
            </w:r>
          </w:p>
        </w:tc>
      </w:tr>
      <w:tr w:rsidR="00541992" w:rsidRPr="004B59F9" w14:paraId="1064132C" w14:textId="77777777" w:rsidTr="00093AB5">
        <w:trPr>
          <w:trHeight w:val="99"/>
          <w:jc w:val="center"/>
        </w:trPr>
        <w:tc>
          <w:tcPr>
            <w:tcW w:w="2180" w:type="dxa"/>
            <w:vAlign w:val="center"/>
          </w:tcPr>
          <w:p w14:paraId="7944EC47"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Invenciones </w:t>
            </w:r>
          </w:p>
        </w:tc>
        <w:tc>
          <w:tcPr>
            <w:tcW w:w="2180" w:type="dxa"/>
            <w:vAlign w:val="center"/>
          </w:tcPr>
          <w:p w14:paraId="64295055"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Propiedad Industrial </w:t>
            </w:r>
          </w:p>
        </w:tc>
        <w:tc>
          <w:tcPr>
            <w:tcW w:w="2180" w:type="dxa"/>
            <w:vAlign w:val="center"/>
          </w:tcPr>
          <w:p w14:paraId="1FFBC67D"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Si </w:t>
            </w:r>
          </w:p>
        </w:tc>
        <w:tc>
          <w:tcPr>
            <w:tcW w:w="3207" w:type="dxa"/>
            <w:vAlign w:val="center"/>
          </w:tcPr>
          <w:p w14:paraId="18FA7BAF" w14:textId="77777777" w:rsidR="00541992" w:rsidRDefault="00541992" w:rsidP="00C321EA">
            <w:pPr>
              <w:autoSpaceDE w:val="0"/>
              <w:autoSpaceDN w:val="0"/>
              <w:adjustRightInd w:val="0"/>
              <w:spacing w:after="0" w:line="240" w:lineRule="auto"/>
              <w:rPr>
                <w:rFonts w:ascii="Arial Narrow" w:hAnsi="Arial Narrow" w:cs="Calibri"/>
                <w:iCs/>
                <w:color w:val="000000"/>
                <w:sz w:val="24"/>
                <w:szCs w:val="24"/>
              </w:rPr>
            </w:pPr>
            <w:r w:rsidRPr="004B59F9">
              <w:rPr>
                <w:rFonts w:ascii="Arial Narrow" w:hAnsi="Arial Narrow" w:cs="Calibri"/>
                <w:iCs/>
                <w:color w:val="000000"/>
                <w:sz w:val="24"/>
                <w:szCs w:val="24"/>
              </w:rPr>
              <w:t xml:space="preserve">Búsqueda en Bancos de Patentes. </w:t>
            </w:r>
          </w:p>
          <w:p w14:paraId="5C67ACFB" w14:textId="6E66DA70"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Pr>
                <w:rFonts w:ascii="Arial Narrow" w:hAnsi="Arial Narrow" w:cs="Calibri"/>
                <w:iCs/>
                <w:color w:val="000000"/>
                <w:sz w:val="24"/>
                <w:szCs w:val="24"/>
              </w:rPr>
              <w:t xml:space="preserve">Registro de solicitud de Patente de </w:t>
            </w:r>
            <w:r w:rsidR="00DB7CAE">
              <w:rPr>
                <w:rFonts w:ascii="Arial Narrow" w:hAnsi="Arial Narrow" w:cs="Calibri"/>
                <w:iCs/>
                <w:color w:val="000000"/>
                <w:sz w:val="24"/>
                <w:szCs w:val="24"/>
              </w:rPr>
              <w:t>invención</w:t>
            </w:r>
            <w:r>
              <w:rPr>
                <w:rFonts w:ascii="Arial Narrow" w:hAnsi="Arial Narrow" w:cs="Calibri"/>
                <w:iCs/>
                <w:color w:val="000000"/>
                <w:sz w:val="24"/>
                <w:szCs w:val="24"/>
              </w:rPr>
              <w:t xml:space="preserve"> o de modelo de </w:t>
            </w:r>
            <w:r>
              <w:rPr>
                <w:rFonts w:ascii="Arial Narrow" w:hAnsi="Arial Narrow" w:cs="Calibri"/>
                <w:iCs/>
                <w:color w:val="000000"/>
                <w:sz w:val="24"/>
                <w:szCs w:val="24"/>
              </w:rPr>
              <w:lastRenderedPageBreak/>
              <w:t>utilidad o en su defecto registro de esquema de trazado ante la SIC.</w:t>
            </w:r>
          </w:p>
        </w:tc>
      </w:tr>
      <w:tr w:rsidR="00541992" w:rsidRPr="004B59F9" w14:paraId="77CE786B" w14:textId="77777777" w:rsidTr="00093AB5">
        <w:trPr>
          <w:trHeight w:val="221"/>
          <w:jc w:val="center"/>
        </w:trPr>
        <w:tc>
          <w:tcPr>
            <w:tcW w:w="2180" w:type="dxa"/>
            <w:vAlign w:val="center"/>
          </w:tcPr>
          <w:p w14:paraId="6A40275E"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lastRenderedPageBreak/>
              <w:t xml:space="preserve">Signos distintivos </w:t>
            </w:r>
          </w:p>
        </w:tc>
        <w:tc>
          <w:tcPr>
            <w:tcW w:w="2180" w:type="dxa"/>
            <w:vAlign w:val="center"/>
          </w:tcPr>
          <w:p w14:paraId="3A333DAE"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Marca </w:t>
            </w:r>
          </w:p>
        </w:tc>
        <w:tc>
          <w:tcPr>
            <w:tcW w:w="2180" w:type="dxa"/>
            <w:vAlign w:val="center"/>
          </w:tcPr>
          <w:p w14:paraId="5AD211B4"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Sí </w:t>
            </w:r>
          </w:p>
        </w:tc>
        <w:tc>
          <w:tcPr>
            <w:tcW w:w="3207" w:type="dxa"/>
            <w:vAlign w:val="center"/>
          </w:tcPr>
          <w:p w14:paraId="47FE09E5"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Solicitud de marca mixta</w:t>
            </w:r>
            <w:r>
              <w:rPr>
                <w:rFonts w:ascii="Arial Narrow" w:hAnsi="Arial Narrow" w:cs="Calibri"/>
                <w:iCs/>
                <w:color w:val="000000"/>
                <w:sz w:val="24"/>
                <w:szCs w:val="24"/>
              </w:rPr>
              <w:t>, figurativa</w:t>
            </w:r>
            <w:r w:rsidRPr="004B59F9">
              <w:rPr>
                <w:rFonts w:ascii="Arial Narrow" w:hAnsi="Arial Narrow" w:cs="Calibri"/>
                <w:iCs/>
                <w:color w:val="000000"/>
                <w:sz w:val="24"/>
                <w:szCs w:val="24"/>
              </w:rPr>
              <w:t xml:space="preserve"> o denominativa ante la SIC antes del lanzamiento comercial. </w:t>
            </w:r>
          </w:p>
        </w:tc>
      </w:tr>
      <w:tr w:rsidR="00541992" w:rsidRPr="004B59F9" w14:paraId="42857257" w14:textId="77777777" w:rsidTr="00093AB5">
        <w:trPr>
          <w:trHeight w:val="221"/>
          <w:jc w:val="center"/>
        </w:trPr>
        <w:tc>
          <w:tcPr>
            <w:tcW w:w="2180" w:type="dxa"/>
            <w:vAlign w:val="center"/>
          </w:tcPr>
          <w:p w14:paraId="46EEA618"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Recetas, métodos confidenciales </w:t>
            </w:r>
          </w:p>
        </w:tc>
        <w:tc>
          <w:tcPr>
            <w:tcW w:w="2180" w:type="dxa"/>
            <w:vAlign w:val="center"/>
          </w:tcPr>
          <w:p w14:paraId="4C66BF0F"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Secreto empresarial </w:t>
            </w:r>
          </w:p>
        </w:tc>
        <w:tc>
          <w:tcPr>
            <w:tcW w:w="2180" w:type="dxa"/>
            <w:vAlign w:val="center"/>
          </w:tcPr>
          <w:p w14:paraId="1CBC8236"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No </w:t>
            </w:r>
          </w:p>
        </w:tc>
        <w:tc>
          <w:tcPr>
            <w:tcW w:w="3207" w:type="dxa"/>
            <w:vAlign w:val="center"/>
          </w:tcPr>
          <w:p w14:paraId="06DC0A57"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Firmar NDA internos; políticas de acceso restringido. </w:t>
            </w:r>
          </w:p>
        </w:tc>
      </w:tr>
      <w:tr w:rsidR="00541992" w:rsidRPr="004B59F9" w14:paraId="08979268" w14:textId="77777777" w:rsidTr="00093AB5">
        <w:trPr>
          <w:trHeight w:val="220"/>
          <w:jc w:val="center"/>
        </w:trPr>
        <w:tc>
          <w:tcPr>
            <w:tcW w:w="2180" w:type="dxa"/>
            <w:vAlign w:val="center"/>
          </w:tcPr>
          <w:p w14:paraId="14803911"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Bases de datos estructuradas </w:t>
            </w:r>
          </w:p>
        </w:tc>
        <w:tc>
          <w:tcPr>
            <w:tcW w:w="2180" w:type="dxa"/>
            <w:vAlign w:val="center"/>
          </w:tcPr>
          <w:p w14:paraId="161A0344"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Derecho sui generis de bases de datos </w:t>
            </w:r>
          </w:p>
        </w:tc>
        <w:tc>
          <w:tcPr>
            <w:tcW w:w="2180" w:type="dxa"/>
            <w:vAlign w:val="center"/>
          </w:tcPr>
          <w:p w14:paraId="7EFC031E"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Opcional </w:t>
            </w:r>
          </w:p>
        </w:tc>
        <w:tc>
          <w:tcPr>
            <w:tcW w:w="3207" w:type="dxa"/>
            <w:vAlign w:val="center"/>
          </w:tcPr>
          <w:p w14:paraId="251097AD" w14:textId="77777777" w:rsidR="00541992" w:rsidRPr="004B59F9" w:rsidRDefault="00541992" w:rsidP="00C321EA">
            <w:pPr>
              <w:autoSpaceDE w:val="0"/>
              <w:autoSpaceDN w:val="0"/>
              <w:adjustRightInd w:val="0"/>
              <w:spacing w:after="0" w:line="240" w:lineRule="auto"/>
              <w:rPr>
                <w:rFonts w:ascii="Arial Narrow" w:hAnsi="Arial Narrow" w:cs="Calibri"/>
                <w:color w:val="000000"/>
                <w:sz w:val="24"/>
                <w:szCs w:val="24"/>
              </w:rPr>
            </w:pPr>
            <w:r w:rsidRPr="004B59F9">
              <w:rPr>
                <w:rFonts w:ascii="Arial Narrow" w:hAnsi="Arial Narrow" w:cs="Calibri"/>
                <w:iCs/>
                <w:color w:val="000000"/>
                <w:sz w:val="24"/>
                <w:szCs w:val="24"/>
              </w:rPr>
              <w:t xml:space="preserve">Registro recomendado en DNDA y cierre contractual de licencias. </w:t>
            </w:r>
          </w:p>
        </w:tc>
      </w:tr>
    </w:tbl>
    <w:p w14:paraId="39D848FE" w14:textId="77777777" w:rsidR="00541992" w:rsidRPr="00EA757B" w:rsidRDefault="00541992" w:rsidP="00541992">
      <w:pPr>
        <w:autoSpaceDE w:val="0"/>
        <w:autoSpaceDN w:val="0"/>
        <w:adjustRightInd w:val="0"/>
        <w:spacing w:after="0" w:line="240" w:lineRule="auto"/>
        <w:jc w:val="both"/>
        <w:rPr>
          <w:rFonts w:ascii="Arial Narrow" w:hAnsi="Arial Narrow" w:cs="Calibri"/>
          <w:b/>
          <w:color w:val="000000"/>
          <w:sz w:val="24"/>
          <w:szCs w:val="24"/>
        </w:rPr>
      </w:pPr>
    </w:p>
    <w:p w14:paraId="39750E5E" w14:textId="77777777" w:rsidR="00541992" w:rsidRDefault="00541992" w:rsidP="00541992">
      <w:pPr>
        <w:pStyle w:val="Prrafodelista"/>
        <w:numPr>
          <w:ilvl w:val="0"/>
          <w:numId w:val="6"/>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Derechos de Propiedad Intelectual al interior de los equipos.</w:t>
      </w:r>
    </w:p>
    <w:p w14:paraId="5AB4FAAC" w14:textId="77777777" w:rsidR="00541992" w:rsidRPr="00EA757B" w:rsidRDefault="00541992" w:rsidP="00541992">
      <w:pPr>
        <w:pStyle w:val="Prrafodelista"/>
        <w:autoSpaceDE w:val="0"/>
        <w:autoSpaceDN w:val="0"/>
        <w:adjustRightInd w:val="0"/>
        <w:spacing w:after="0" w:line="240" w:lineRule="auto"/>
        <w:jc w:val="both"/>
        <w:rPr>
          <w:rFonts w:ascii="Arial Narrow" w:hAnsi="Arial Narrow" w:cs="Calibri"/>
          <w:b/>
          <w:color w:val="000000"/>
          <w:sz w:val="24"/>
          <w:szCs w:val="24"/>
        </w:rPr>
      </w:pPr>
    </w:p>
    <w:p w14:paraId="6C01801C" w14:textId="77777777" w:rsidR="00541992" w:rsidRPr="00EA757B" w:rsidRDefault="00541992" w:rsidP="00541992">
      <w:pPr>
        <w:autoSpaceDE w:val="0"/>
        <w:autoSpaceDN w:val="0"/>
        <w:adjustRightInd w:val="0"/>
        <w:spacing w:after="0" w:line="276" w:lineRule="auto"/>
        <w:ind w:firstLine="360"/>
        <w:jc w:val="both"/>
        <w:rPr>
          <w:rFonts w:ascii="Arial Narrow" w:hAnsi="Arial Narrow" w:cs="Calibri"/>
          <w:b/>
          <w:color w:val="000000"/>
          <w:sz w:val="24"/>
          <w:szCs w:val="24"/>
        </w:rPr>
      </w:pPr>
      <w:r w:rsidRPr="00EA757B">
        <w:rPr>
          <w:rFonts w:ascii="Arial Narrow" w:hAnsi="Arial Narrow" w:cs="Calibri"/>
          <w:iCs/>
          <w:color w:val="000000"/>
          <w:sz w:val="24"/>
          <w:szCs w:val="24"/>
        </w:rPr>
        <w:t>Antes de iniciar la fase de ejecución, el equipo deberá suscribir un Acuerdo de Cotitularidad que incluya:</w:t>
      </w:r>
    </w:p>
    <w:p w14:paraId="109C9408" w14:textId="77777777" w:rsidR="00541992" w:rsidRPr="00EA757B" w:rsidRDefault="00541992" w:rsidP="00541992">
      <w:pPr>
        <w:pStyle w:val="Prrafodelista"/>
        <w:numPr>
          <w:ilvl w:val="0"/>
          <w:numId w:val="9"/>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color w:val="000000"/>
          <w:sz w:val="24"/>
          <w:szCs w:val="24"/>
        </w:rPr>
        <w:t xml:space="preserve">Identificación de aportes y porcentajes de participación; </w:t>
      </w:r>
    </w:p>
    <w:p w14:paraId="61E7B312" w14:textId="77777777" w:rsidR="00541992" w:rsidRPr="00EA757B" w:rsidRDefault="00541992" w:rsidP="00541992">
      <w:pPr>
        <w:pStyle w:val="Prrafodelista"/>
        <w:numPr>
          <w:ilvl w:val="0"/>
          <w:numId w:val="9"/>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Cs/>
          <w:color w:val="000000"/>
          <w:sz w:val="24"/>
          <w:szCs w:val="24"/>
        </w:rPr>
        <w:t xml:space="preserve">Reglas de decisión para licenciar o ceder PI (mayoría simple o calificada); </w:t>
      </w:r>
    </w:p>
    <w:p w14:paraId="10CDB446" w14:textId="49D2E131" w:rsidR="00541992" w:rsidRPr="00EA757B" w:rsidRDefault="00541992" w:rsidP="00541992">
      <w:pPr>
        <w:pStyle w:val="Prrafodelista"/>
        <w:numPr>
          <w:ilvl w:val="0"/>
          <w:numId w:val="9"/>
        </w:numPr>
        <w:autoSpaceDE w:val="0"/>
        <w:autoSpaceDN w:val="0"/>
        <w:adjustRightInd w:val="0"/>
        <w:spacing w:after="22" w:line="276" w:lineRule="auto"/>
        <w:jc w:val="both"/>
        <w:rPr>
          <w:rFonts w:ascii="Arial Narrow" w:hAnsi="Arial Narrow" w:cs="Calibri"/>
          <w:color w:val="000000"/>
          <w:sz w:val="24"/>
          <w:szCs w:val="24"/>
        </w:rPr>
      </w:pPr>
      <w:r w:rsidRPr="00EA757B">
        <w:rPr>
          <w:rFonts w:ascii="Arial Narrow" w:hAnsi="Arial Narrow" w:cs="Calibri"/>
          <w:iCs/>
          <w:color w:val="000000"/>
          <w:sz w:val="24"/>
          <w:szCs w:val="24"/>
        </w:rPr>
        <w:t xml:space="preserve">Mecanismo de solución de controversias (por ejemplo, conciliación ante el Centro de Arbitraje y Conciliación de la </w:t>
      </w:r>
      <w:r w:rsidR="00BD7F6B">
        <w:rPr>
          <w:rFonts w:ascii="Arial Narrow" w:hAnsi="Arial Narrow" w:cs="Calibri"/>
          <w:iCs/>
          <w:color w:val="000000"/>
          <w:sz w:val="24"/>
          <w:szCs w:val="24"/>
        </w:rPr>
        <w:t>CCI</w:t>
      </w:r>
      <w:r w:rsidRPr="00EA757B">
        <w:rPr>
          <w:rFonts w:ascii="Arial Narrow" w:hAnsi="Arial Narrow" w:cs="Calibri"/>
          <w:i/>
          <w:iCs/>
          <w:color w:val="000000"/>
          <w:sz w:val="24"/>
          <w:szCs w:val="24"/>
        </w:rPr>
        <w:t xml:space="preserve">). </w:t>
      </w:r>
    </w:p>
    <w:p w14:paraId="3E89A923" w14:textId="77777777" w:rsidR="00541992" w:rsidRPr="00EA757B" w:rsidRDefault="00541992" w:rsidP="00541992">
      <w:pPr>
        <w:autoSpaceDE w:val="0"/>
        <w:autoSpaceDN w:val="0"/>
        <w:adjustRightInd w:val="0"/>
        <w:spacing w:after="22" w:line="276" w:lineRule="auto"/>
        <w:ind w:left="360"/>
        <w:jc w:val="both"/>
        <w:rPr>
          <w:rFonts w:ascii="Arial Narrow" w:hAnsi="Arial Narrow" w:cs="Calibri"/>
          <w:color w:val="000000"/>
          <w:sz w:val="24"/>
          <w:szCs w:val="24"/>
        </w:rPr>
      </w:pPr>
    </w:p>
    <w:p w14:paraId="422A7709" w14:textId="77777777" w:rsidR="00541992" w:rsidRDefault="00541992" w:rsidP="00541992">
      <w:pPr>
        <w:pStyle w:val="Prrafodelista"/>
        <w:numPr>
          <w:ilvl w:val="0"/>
          <w:numId w:val="6"/>
        </w:numPr>
        <w:autoSpaceDE w:val="0"/>
        <w:autoSpaceDN w:val="0"/>
        <w:adjustRightInd w:val="0"/>
        <w:spacing w:after="0" w:line="240" w:lineRule="auto"/>
        <w:jc w:val="both"/>
        <w:rPr>
          <w:rFonts w:ascii="Arial Narrow" w:hAnsi="Arial Narrow" w:cs="Calibri"/>
          <w:b/>
          <w:color w:val="000000"/>
          <w:sz w:val="24"/>
          <w:szCs w:val="24"/>
        </w:rPr>
      </w:pPr>
      <w:r w:rsidRPr="00EA757B">
        <w:rPr>
          <w:rFonts w:ascii="Arial Narrow" w:hAnsi="Arial Narrow" w:cs="Calibri"/>
          <w:b/>
          <w:color w:val="000000"/>
          <w:sz w:val="24"/>
          <w:szCs w:val="24"/>
        </w:rPr>
        <w:t xml:space="preserve">Acompañamiento de la </w:t>
      </w:r>
      <w:r>
        <w:rPr>
          <w:rFonts w:ascii="Arial Narrow" w:hAnsi="Arial Narrow" w:cs="Calibri"/>
          <w:b/>
          <w:color w:val="000000"/>
          <w:sz w:val="24"/>
          <w:szCs w:val="24"/>
        </w:rPr>
        <w:t>CCI</w:t>
      </w:r>
      <w:r w:rsidRPr="00EA757B">
        <w:rPr>
          <w:rFonts w:ascii="Arial Narrow" w:hAnsi="Arial Narrow" w:cs="Calibri"/>
          <w:b/>
          <w:color w:val="000000"/>
          <w:sz w:val="24"/>
          <w:szCs w:val="24"/>
        </w:rPr>
        <w:t xml:space="preserve"> y límite de los gastos en PI </w:t>
      </w:r>
    </w:p>
    <w:p w14:paraId="72256D82" w14:textId="77777777" w:rsidR="00541992" w:rsidRPr="00EA757B" w:rsidRDefault="00541992" w:rsidP="00541992">
      <w:pPr>
        <w:pStyle w:val="Prrafodelista"/>
        <w:autoSpaceDE w:val="0"/>
        <w:autoSpaceDN w:val="0"/>
        <w:adjustRightInd w:val="0"/>
        <w:spacing w:after="0" w:line="240" w:lineRule="auto"/>
        <w:jc w:val="both"/>
        <w:rPr>
          <w:rFonts w:ascii="Arial Narrow" w:hAnsi="Arial Narrow" w:cs="Calibri"/>
          <w:b/>
          <w:color w:val="000000"/>
          <w:sz w:val="24"/>
          <w:szCs w:val="24"/>
        </w:rPr>
      </w:pPr>
    </w:p>
    <w:p w14:paraId="20E6FAE1" w14:textId="77777777" w:rsidR="00541992" w:rsidRPr="00C90CE5" w:rsidRDefault="00541992" w:rsidP="00541992">
      <w:pPr>
        <w:autoSpaceDE w:val="0"/>
        <w:autoSpaceDN w:val="0"/>
        <w:adjustRightInd w:val="0"/>
        <w:spacing w:after="22" w:line="276" w:lineRule="auto"/>
        <w:ind w:left="360"/>
        <w:jc w:val="both"/>
        <w:rPr>
          <w:rFonts w:ascii="Arial Narrow" w:hAnsi="Arial Narrow" w:cs="Calibri"/>
          <w:color w:val="000000"/>
          <w:sz w:val="24"/>
          <w:szCs w:val="24"/>
        </w:rPr>
      </w:pPr>
      <w:r w:rsidRPr="00C90CE5">
        <w:rPr>
          <w:rFonts w:ascii="Arial Narrow" w:hAnsi="Arial Narrow" w:cs="Calibri"/>
          <w:color w:val="000000"/>
          <w:sz w:val="24"/>
          <w:szCs w:val="24"/>
        </w:rPr>
        <w:t>Conforme con lo dispuesto en los Términos de Referencia de la convocatoria, la Cámara de Comercio de Ipiales (CCI) únicamente se compromete a “realizar acompañamiento a los beneficiarios en la definición y ejecución del plan de inversión del proyecto de innovación”. Dicho acompañamiento será de carácter general y no incluye la prestación, ni el financiamiento, de servicios específicos de registro, búsquedas o vigilancia de Propiedad Intelectual. Cualquier orientación técnica que la CCI pudiera brindar en la práctica dependerá de la disponibilidad de sus programas institucionales y no constituye obligación contractual ni rubro financiable de la convocatoria.</w:t>
      </w:r>
    </w:p>
    <w:p w14:paraId="10917E1F" w14:textId="77777777" w:rsidR="00F23775" w:rsidRPr="00EA757B" w:rsidRDefault="00F23775" w:rsidP="00541992">
      <w:pPr>
        <w:autoSpaceDE w:val="0"/>
        <w:autoSpaceDN w:val="0"/>
        <w:adjustRightInd w:val="0"/>
        <w:spacing w:after="22" w:line="276" w:lineRule="auto"/>
        <w:ind w:left="360"/>
        <w:jc w:val="both"/>
        <w:rPr>
          <w:rFonts w:ascii="Arial Narrow" w:hAnsi="Arial Narrow" w:cs="Calibri"/>
          <w:i/>
          <w:iCs/>
          <w:color w:val="000000"/>
          <w:sz w:val="24"/>
          <w:szCs w:val="24"/>
        </w:rPr>
      </w:pPr>
    </w:p>
    <w:p w14:paraId="58335DE2" w14:textId="77777777" w:rsidR="00541992" w:rsidRPr="00A46790" w:rsidRDefault="00541992" w:rsidP="00541992">
      <w:pPr>
        <w:pStyle w:val="Prrafodelista"/>
        <w:numPr>
          <w:ilvl w:val="0"/>
          <w:numId w:val="6"/>
        </w:numPr>
        <w:autoSpaceDE w:val="0"/>
        <w:autoSpaceDN w:val="0"/>
        <w:adjustRightInd w:val="0"/>
        <w:spacing w:after="22" w:line="276" w:lineRule="auto"/>
        <w:jc w:val="both"/>
        <w:rPr>
          <w:rFonts w:ascii="Arial Narrow" w:hAnsi="Arial Narrow" w:cs="Calibri"/>
          <w:iCs/>
          <w:color w:val="000000"/>
          <w:sz w:val="24"/>
          <w:szCs w:val="24"/>
        </w:rPr>
      </w:pPr>
      <w:r w:rsidRPr="00EA757B">
        <w:rPr>
          <w:rFonts w:ascii="Arial Narrow" w:hAnsi="Arial Narrow" w:cs="Calibri"/>
          <w:b/>
          <w:color w:val="000000"/>
          <w:sz w:val="24"/>
          <w:szCs w:val="24"/>
        </w:rPr>
        <w:t xml:space="preserve"> Alcance del apoyo económico (hasta COP $ </w:t>
      </w:r>
      <w:r>
        <w:rPr>
          <w:rFonts w:ascii="Arial Narrow" w:hAnsi="Arial Narrow" w:cs="Calibri"/>
          <w:b/>
          <w:color w:val="000000"/>
          <w:sz w:val="24"/>
          <w:szCs w:val="24"/>
        </w:rPr>
        <w:t>20</w:t>
      </w:r>
      <w:r w:rsidRPr="00EA757B">
        <w:rPr>
          <w:rFonts w:ascii="Arial Narrow" w:hAnsi="Arial Narrow" w:cs="Calibri"/>
          <w:b/>
          <w:color w:val="000000"/>
          <w:sz w:val="24"/>
          <w:szCs w:val="24"/>
        </w:rPr>
        <w:t>.000.000)</w:t>
      </w:r>
      <w:r w:rsidRPr="00EA757B">
        <w:rPr>
          <w:rFonts w:ascii="Arial Narrow" w:hAnsi="Arial Narrow" w:cs="Calibri"/>
          <w:b/>
          <w:bCs/>
          <w:iCs/>
          <w:color w:val="000000"/>
          <w:sz w:val="24"/>
          <w:szCs w:val="24"/>
        </w:rPr>
        <w:t xml:space="preserve"> </w:t>
      </w:r>
    </w:p>
    <w:p w14:paraId="45A58044" w14:textId="77777777" w:rsidR="00541992" w:rsidRPr="00EA757B" w:rsidRDefault="00541992" w:rsidP="00541992">
      <w:pPr>
        <w:pStyle w:val="Prrafodelista"/>
        <w:autoSpaceDE w:val="0"/>
        <w:autoSpaceDN w:val="0"/>
        <w:adjustRightInd w:val="0"/>
        <w:spacing w:after="22" w:line="276" w:lineRule="auto"/>
        <w:jc w:val="both"/>
        <w:rPr>
          <w:rFonts w:ascii="Arial Narrow" w:hAnsi="Arial Narrow" w:cs="Calibri"/>
          <w:iCs/>
          <w:color w:val="000000"/>
          <w:sz w:val="24"/>
          <w:szCs w:val="24"/>
        </w:rPr>
      </w:pPr>
    </w:p>
    <w:p w14:paraId="79369062" w14:textId="77777777" w:rsidR="00541992" w:rsidRPr="00C90CE5" w:rsidRDefault="00541992" w:rsidP="00541992">
      <w:pPr>
        <w:autoSpaceDE w:val="0"/>
        <w:autoSpaceDN w:val="0"/>
        <w:adjustRightInd w:val="0"/>
        <w:spacing w:after="0" w:line="240" w:lineRule="auto"/>
        <w:ind w:left="360"/>
        <w:jc w:val="both"/>
        <w:rPr>
          <w:rFonts w:ascii="Arial Narrow" w:hAnsi="Arial Narrow" w:cs="Calibri"/>
          <w:color w:val="000000"/>
          <w:sz w:val="24"/>
          <w:szCs w:val="24"/>
        </w:rPr>
      </w:pPr>
      <w:r w:rsidRPr="00C90CE5">
        <w:rPr>
          <w:rFonts w:ascii="Arial Narrow" w:hAnsi="Arial Narrow" w:cs="Calibri"/>
          <w:color w:val="000000"/>
          <w:sz w:val="24"/>
          <w:szCs w:val="24"/>
        </w:rPr>
        <w:t>De conformidad con el rubro “Transferencia de tecnología” de los Términos de Referencia, el único gasto relacionado con Propiedad Intelectual que podría ser cubierto con el apoyo económico—previa aprobación del Comité Técnico del Convenio—es la adquisición de licencias o derechos de uso sobre tecnologías pre-existentes estrictamente indispensables para el desarrollo del prototipo o proceso. Toda solicitud deberá justificarse en el plan de inversión y someterse al proceso interno de validación previsto por la convocatoria.</w:t>
      </w:r>
    </w:p>
    <w:p w14:paraId="3D4DFE15" w14:textId="77777777" w:rsidR="00541992" w:rsidRPr="00EA757B" w:rsidRDefault="00541992" w:rsidP="00541992">
      <w:pPr>
        <w:autoSpaceDE w:val="0"/>
        <w:autoSpaceDN w:val="0"/>
        <w:adjustRightInd w:val="0"/>
        <w:spacing w:after="0" w:line="240" w:lineRule="auto"/>
        <w:jc w:val="both"/>
        <w:rPr>
          <w:rFonts w:ascii="Arial Narrow" w:hAnsi="Arial Narrow" w:cs="Calibri"/>
          <w:i/>
          <w:iCs/>
          <w:color w:val="000000"/>
          <w:sz w:val="24"/>
          <w:szCs w:val="24"/>
        </w:rPr>
      </w:pPr>
    </w:p>
    <w:p w14:paraId="7419367B" w14:textId="77777777" w:rsidR="00541992" w:rsidRDefault="00541992" w:rsidP="00541992">
      <w:pPr>
        <w:pStyle w:val="Prrafodelista"/>
        <w:numPr>
          <w:ilvl w:val="0"/>
          <w:numId w:val="6"/>
        </w:numPr>
        <w:autoSpaceDE w:val="0"/>
        <w:autoSpaceDN w:val="0"/>
        <w:adjustRightInd w:val="0"/>
        <w:spacing w:after="0" w:line="240" w:lineRule="auto"/>
        <w:jc w:val="both"/>
        <w:rPr>
          <w:rFonts w:ascii="Arial Narrow" w:hAnsi="Arial Narrow" w:cs="Calibri"/>
          <w:b/>
          <w:iCs/>
          <w:color w:val="000000"/>
          <w:sz w:val="24"/>
          <w:szCs w:val="24"/>
        </w:rPr>
      </w:pPr>
      <w:r w:rsidRPr="00EA757B">
        <w:rPr>
          <w:rFonts w:ascii="Arial Narrow" w:hAnsi="Arial Narrow" w:cs="Calibri"/>
          <w:b/>
          <w:iCs/>
          <w:color w:val="000000"/>
          <w:sz w:val="24"/>
          <w:szCs w:val="24"/>
        </w:rPr>
        <w:t>Gastos expresamente excluidos</w:t>
      </w:r>
    </w:p>
    <w:p w14:paraId="064BF822" w14:textId="77777777" w:rsidR="00541992" w:rsidRPr="00EA757B" w:rsidRDefault="00541992" w:rsidP="00541992">
      <w:pPr>
        <w:pStyle w:val="Prrafodelista"/>
        <w:autoSpaceDE w:val="0"/>
        <w:autoSpaceDN w:val="0"/>
        <w:adjustRightInd w:val="0"/>
        <w:spacing w:after="0" w:line="240" w:lineRule="auto"/>
        <w:jc w:val="both"/>
        <w:rPr>
          <w:rFonts w:ascii="Arial Narrow" w:hAnsi="Arial Narrow" w:cs="Calibri"/>
          <w:b/>
          <w:iCs/>
          <w:color w:val="000000"/>
          <w:sz w:val="24"/>
          <w:szCs w:val="24"/>
        </w:rPr>
      </w:pPr>
    </w:p>
    <w:p w14:paraId="2B7AF61D" w14:textId="77777777" w:rsidR="00541992" w:rsidRPr="00EA757B" w:rsidRDefault="00541992" w:rsidP="00541992">
      <w:pPr>
        <w:autoSpaceDE w:val="0"/>
        <w:autoSpaceDN w:val="0"/>
        <w:adjustRightInd w:val="0"/>
        <w:spacing w:after="0" w:line="276" w:lineRule="auto"/>
        <w:ind w:left="360"/>
        <w:jc w:val="both"/>
        <w:rPr>
          <w:rFonts w:ascii="Arial Narrow" w:hAnsi="Arial Narrow" w:cs="Calibri"/>
          <w:color w:val="000000"/>
          <w:sz w:val="24"/>
          <w:szCs w:val="24"/>
        </w:rPr>
      </w:pPr>
      <w:r w:rsidRPr="00EA757B">
        <w:rPr>
          <w:rFonts w:ascii="Arial Narrow" w:hAnsi="Arial Narrow" w:cs="Calibri"/>
          <w:iCs/>
          <w:color w:val="000000"/>
          <w:sz w:val="24"/>
          <w:szCs w:val="24"/>
        </w:rPr>
        <w:lastRenderedPageBreak/>
        <w:t>Tal como lo establecen los Términos de Referencia (Rubros no financiables), NO podrán imputarse al apoyo económico</w:t>
      </w:r>
      <w:r w:rsidRPr="00EA757B">
        <w:rPr>
          <w:rFonts w:ascii="Arial Narrow" w:hAnsi="Arial Narrow" w:cs="Calibri"/>
          <w:i/>
          <w:iCs/>
          <w:color w:val="000000"/>
          <w:sz w:val="24"/>
          <w:szCs w:val="24"/>
        </w:rPr>
        <w:t xml:space="preserve">: </w:t>
      </w:r>
    </w:p>
    <w:p w14:paraId="27406E22" w14:textId="77777777" w:rsidR="00541992" w:rsidRPr="00DB7CAE" w:rsidRDefault="00541992" w:rsidP="00541992">
      <w:pPr>
        <w:autoSpaceDE w:val="0"/>
        <w:autoSpaceDN w:val="0"/>
        <w:adjustRightInd w:val="0"/>
        <w:spacing w:after="0" w:line="276" w:lineRule="auto"/>
        <w:jc w:val="both"/>
        <w:rPr>
          <w:rFonts w:ascii="Arial Narrow" w:hAnsi="Arial Narrow" w:cs="Calibri"/>
          <w:color w:val="000000"/>
          <w:sz w:val="24"/>
          <w:szCs w:val="24"/>
        </w:rPr>
      </w:pPr>
    </w:p>
    <w:p w14:paraId="6DCDDFA5" w14:textId="77777777" w:rsidR="00541992" w:rsidRPr="00DB7CAE" w:rsidRDefault="00541992" w:rsidP="00541992">
      <w:pPr>
        <w:pStyle w:val="Prrafodelista"/>
        <w:numPr>
          <w:ilvl w:val="0"/>
          <w:numId w:val="11"/>
        </w:numPr>
        <w:autoSpaceDE w:val="0"/>
        <w:autoSpaceDN w:val="0"/>
        <w:adjustRightInd w:val="0"/>
        <w:spacing w:after="22" w:line="276" w:lineRule="auto"/>
        <w:jc w:val="both"/>
        <w:rPr>
          <w:rFonts w:ascii="Arial Narrow" w:hAnsi="Arial Narrow" w:cs="Calibri"/>
          <w:color w:val="000000"/>
          <w:sz w:val="24"/>
          <w:szCs w:val="24"/>
        </w:rPr>
      </w:pPr>
      <w:r w:rsidRPr="00C90CE5">
        <w:rPr>
          <w:rFonts w:ascii="Arial Narrow" w:hAnsi="Arial Narrow" w:cs="Calibri"/>
          <w:color w:val="000000"/>
          <w:sz w:val="24"/>
          <w:szCs w:val="24"/>
        </w:rPr>
        <w:t xml:space="preserve">Tasas oficiales ante la Superintendencia de Industria y Comercio (SIC) o la Dirección Nacional de Derecho de Autor (DNDA). </w:t>
      </w:r>
    </w:p>
    <w:p w14:paraId="0E09C038" w14:textId="77777777" w:rsidR="00541992" w:rsidRPr="00DB7CAE" w:rsidRDefault="00541992" w:rsidP="00541992">
      <w:pPr>
        <w:pStyle w:val="Prrafodelista"/>
        <w:numPr>
          <w:ilvl w:val="0"/>
          <w:numId w:val="11"/>
        </w:numPr>
        <w:autoSpaceDE w:val="0"/>
        <w:autoSpaceDN w:val="0"/>
        <w:adjustRightInd w:val="0"/>
        <w:spacing w:after="22" w:line="276" w:lineRule="auto"/>
        <w:jc w:val="both"/>
        <w:rPr>
          <w:rFonts w:ascii="Arial Narrow" w:hAnsi="Arial Narrow" w:cs="Calibri"/>
          <w:color w:val="000000"/>
          <w:sz w:val="24"/>
          <w:szCs w:val="24"/>
        </w:rPr>
      </w:pPr>
      <w:r w:rsidRPr="00C90CE5">
        <w:rPr>
          <w:rFonts w:ascii="Arial Narrow" w:hAnsi="Arial Narrow" w:cs="Calibri"/>
          <w:color w:val="000000"/>
          <w:sz w:val="24"/>
          <w:szCs w:val="24"/>
        </w:rPr>
        <w:t xml:space="preserve">Honorarios profesionales de abogados expertos en Propiedad Intelectual. </w:t>
      </w:r>
    </w:p>
    <w:p w14:paraId="271FE0D0" w14:textId="77777777" w:rsidR="00541992" w:rsidRPr="00DB7CAE" w:rsidRDefault="00541992" w:rsidP="00541992">
      <w:pPr>
        <w:pStyle w:val="Prrafodelista"/>
        <w:numPr>
          <w:ilvl w:val="0"/>
          <w:numId w:val="11"/>
        </w:numPr>
        <w:autoSpaceDE w:val="0"/>
        <w:autoSpaceDN w:val="0"/>
        <w:adjustRightInd w:val="0"/>
        <w:spacing w:after="22" w:line="276" w:lineRule="auto"/>
        <w:jc w:val="both"/>
        <w:rPr>
          <w:rFonts w:ascii="Arial Narrow" w:hAnsi="Arial Narrow" w:cs="Calibri"/>
          <w:color w:val="000000"/>
          <w:sz w:val="24"/>
          <w:szCs w:val="24"/>
        </w:rPr>
      </w:pPr>
      <w:r w:rsidRPr="00C90CE5">
        <w:rPr>
          <w:rFonts w:ascii="Arial Narrow" w:hAnsi="Arial Narrow" w:cs="Calibri"/>
          <w:color w:val="000000"/>
          <w:sz w:val="24"/>
          <w:szCs w:val="24"/>
        </w:rPr>
        <w:t xml:space="preserve">Reportes de búsqueda de patentes o antecedentes marcarios emitidos por terceros. </w:t>
      </w:r>
    </w:p>
    <w:p w14:paraId="0D005572" w14:textId="77777777" w:rsidR="00541992" w:rsidRPr="00DB7CAE" w:rsidRDefault="00541992" w:rsidP="00541992">
      <w:pPr>
        <w:pStyle w:val="Prrafodelista"/>
        <w:numPr>
          <w:ilvl w:val="0"/>
          <w:numId w:val="11"/>
        </w:numPr>
        <w:autoSpaceDE w:val="0"/>
        <w:autoSpaceDN w:val="0"/>
        <w:adjustRightInd w:val="0"/>
        <w:spacing w:after="22" w:line="276" w:lineRule="auto"/>
        <w:jc w:val="both"/>
        <w:rPr>
          <w:rFonts w:ascii="Arial Narrow" w:hAnsi="Arial Narrow" w:cs="Calibri"/>
          <w:color w:val="000000"/>
          <w:sz w:val="24"/>
          <w:szCs w:val="24"/>
        </w:rPr>
      </w:pPr>
      <w:r w:rsidRPr="00C90CE5">
        <w:rPr>
          <w:rFonts w:ascii="Arial Narrow" w:hAnsi="Arial Narrow" w:cs="Calibri"/>
          <w:color w:val="000000"/>
          <w:sz w:val="24"/>
          <w:szCs w:val="24"/>
        </w:rPr>
        <w:t xml:space="preserve">Cualesquiera otros pagos asociados al trámite de registro, mantenimiento o vigilancia de derechos de Propiedad Intelectual. </w:t>
      </w:r>
    </w:p>
    <w:p w14:paraId="60DAADA2" w14:textId="77777777" w:rsidR="00541992" w:rsidRPr="0049794F" w:rsidRDefault="00541992" w:rsidP="00541992">
      <w:pPr>
        <w:numPr>
          <w:ilvl w:val="1"/>
          <w:numId w:val="10"/>
        </w:numPr>
        <w:autoSpaceDE w:val="0"/>
        <w:autoSpaceDN w:val="0"/>
        <w:adjustRightInd w:val="0"/>
        <w:spacing w:after="0" w:line="240" w:lineRule="auto"/>
        <w:jc w:val="both"/>
        <w:rPr>
          <w:rFonts w:ascii="Arial Narrow" w:hAnsi="Arial Narrow" w:cs="Calibri"/>
          <w:color w:val="000000"/>
          <w:sz w:val="24"/>
          <w:szCs w:val="24"/>
        </w:rPr>
      </w:pPr>
    </w:p>
    <w:p w14:paraId="40441B09" w14:textId="77777777" w:rsidR="00541992" w:rsidRPr="00EA757B" w:rsidRDefault="00541992" w:rsidP="00541992">
      <w:pPr>
        <w:autoSpaceDE w:val="0"/>
        <w:autoSpaceDN w:val="0"/>
        <w:adjustRightInd w:val="0"/>
        <w:spacing w:after="0" w:line="276" w:lineRule="auto"/>
        <w:ind w:left="360"/>
        <w:jc w:val="both"/>
        <w:rPr>
          <w:rFonts w:ascii="Arial Narrow" w:hAnsi="Arial Narrow" w:cs="Calibri"/>
          <w:iCs/>
          <w:color w:val="000000"/>
          <w:sz w:val="24"/>
          <w:szCs w:val="24"/>
        </w:rPr>
      </w:pPr>
      <w:r w:rsidRPr="00EA757B">
        <w:rPr>
          <w:rFonts w:ascii="Arial Narrow" w:hAnsi="Arial Narrow" w:cs="Calibri"/>
          <w:iCs/>
          <w:color w:val="000000"/>
          <w:sz w:val="24"/>
          <w:szCs w:val="24"/>
        </w:rPr>
        <w:t>En consecuencia, estos costos deberán ser asumidos directamente por el titular o gestionados mediante otras fuentes de financiación.</w:t>
      </w:r>
    </w:p>
    <w:p w14:paraId="0FCDF36D" w14:textId="77777777" w:rsidR="00541992" w:rsidRPr="00EA757B" w:rsidRDefault="00541992" w:rsidP="00541992">
      <w:pPr>
        <w:autoSpaceDE w:val="0"/>
        <w:autoSpaceDN w:val="0"/>
        <w:adjustRightInd w:val="0"/>
        <w:spacing w:after="0" w:line="276" w:lineRule="auto"/>
        <w:jc w:val="both"/>
        <w:rPr>
          <w:rFonts w:ascii="Arial Narrow" w:hAnsi="Arial Narrow" w:cs="Calibri"/>
          <w:iCs/>
          <w:color w:val="000000"/>
          <w:sz w:val="24"/>
          <w:szCs w:val="24"/>
        </w:rPr>
      </w:pPr>
    </w:p>
    <w:p w14:paraId="6B005730" w14:textId="77777777" w:rsidR="00541992" w:rsidRPr="00A46790" w:rsidRDefault="00541992" w:rsidP="00541992">
      <w:pPr>
        <w:pStyle w:val="Prrafodelista"/>
        <w:numPr>
          <w:ilvl w:val="0"/>
          <w:numId w:val="6"/>
        </w:numPr>
        <w:autoSpaceDE w:val="0"/>
        <w:autoSpaceDN w:val="0"/>
        <w:adjustRightInd w:val="0"/>
        <w:spacing w:after="0" w:line="276" w:lineRule="auto"/>
        <w:jc w:val="both"/>
        <w:rPr>
          <w:rFonts w:ascii="Arial Narrow" w:hAnsi="Arial Narrow" w:cs="Calibri"/>
          <w:color w:val="000000"/>
          <w:sz w:val="24"/>
          <w:szCs w:val="24"/>
        </w:rPr>
      </w:pPr>
      <w:r w:rsidRPr="00EA757B">
        <w:rPr>
          <w:rFonts w:ascii="Arial Narrow" w:hAnsi="Arial Narrow" w:cs="Calibri"/>
          <w:b/>
          <w:bCs/>
          <w:iCs/>
          <w:color w:val="000000"/>
          <w:sz w:val="24"/>
          <w:szCs w:val="24"/>
        </w:rPr>
        <w:t xml:space="preserve">Declaración y aceptación </w:t>
      </w:r>
    </w:p>
    <w:p w14:paraId="071DCE4B" w14:textId="77777777" w:rsidR="00541992" w:rsidRPr="00EA757B" w:rsidRDefault="00541992" w:rsidP="00541992">
      <w:pPr>
        <w:pStyle w:val="Prrafodelista"/>
        <w:autoSpaceDE w:val="0"/>
        <w:autoSpaceDN w:val="0"/>
        <w:adjustRightInd w:val="0"/>
        <w:spacing w:after="0" w:line="276" w:lineRule="auto"/>
        <w:jc w:val="both"/>
        <w:rPr>
          <w:rFonts w:ascii="Arial Narrow" w:hAnsi="Arial Narrow" w:cs="Calibri"/>
          <w:color w:val="000000"/>
          <w:sz w:val="24"/>
          <w:szCs w:val="24"/>
        </w:rPr>
      </w:pPr>
    </w:p>
    <w:p w14:paraId="1D7FBE7B" w14:textId="77777777" w:rsidR="00541992" w:rsidRPr="00EA757B" w:rsidRDefault="00541992" w:rsidP="00541992">
      <w:pPr>
        <w:autoSpaceDE w:val="0"/>
        <w:autoSpaceDN w:val="0"/>
        <w:adjustRightInd w:val="0"/>
        <w:spacing w:after="0" w:line="276" w:lineRule="auto"/>
        <w:ind w:left="360"/>
        <w:jc w:val="both"/>
        <w:rPr>
          <w:rFonts w:ascii="Arial Narrow" w:hAnsi="Arial Narrow" w:cs="Calibri"/>
          <w:i/>
          <w:iCs/>
          <w:color w:val="000000"/>
          <w:sz w:val="24"/>
          <w:szCs w:val="24"/>
        </w:rPr>
      </w:pPr>
      <w:r w:rsidRPr="00EA757B">
        <w:rPr>
          <w:rFonts w:ascii="Arial Narrow" w:hAnsi="Arial Narrow" w:cs="Calibri"/>
          <w:iCs/>
          <w:color w:val="000000"/>
          <w:sz w:val="24"/>
          <w:szCs w:val="24"/>
        </w:rPr>
        <w:t>Los abajo firmantes declaran haber leído y entendido el presente Anexo 3 y se comprometen a cumplir todas sus disposiciones, en especial las relativas a la licencia de interés público, la cesión extraordinaria al Estado y el mecanismo de retorno económico establecido en la Ley 2294 de 2023</w:t>
      </w:r>
      <w:r w:rsidRPr="00EA757B">
        <w:rPr>
          <w:rFonts w:ascii="Arial Narrow" w:hAnsi="Arial Narrow" w:cs="Calibri"/>
          <w:i/>
          <w:iCs/>
          <w:color w:val="000000"/>
          <w:sz w:val="24"/>
          <w:szCs w:val="24"/>
        </w:rPr>
        <w:t>.</w:t>
      </w:r>
    </w:p>
    <w:p w14:paraId="48BB471B" w14:textId="77777777" w:rsidR="00541992" w:rsidRPr="00EA757B" w:rsidRDefault="00541992" w:rsidP="00541992">
      <w:pPr>
        <w:autoSpaceDE w:val="0"/>
        <w:autoSpaceDN w:val="0"/>
        <w:adjustRightInd w:val="0"/>
        <w:spacing w:after="0" w:line="276" w:lineRule="auto"/>
        <w:jc w:val="both"/>
        <w:rPr>
          <w:rFonts w:ascii="Arial Narrow" w:hAnsi="Arial Narrow" w:cs="Calibri"/>
          <w:i/>
          <w:iCs/>
          <w:color w:val="000000"/>
          <w:sz w:val="24"/>
          <w:szCs w:val="24"/>
        </w:rPr>
      </w:pPr>
    </w:p>
    <w:tbl>
      <w:tblPr>
        <w:tblW w:w="11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2328"/>
        <w:gridCol w:w="1747"/>
        <w:gridCol w:w="1688"/>
        <w:gridCol w:w="1556"/>
        <w:gridCol w:w="1833"/>
        <w:gridCol w:w="1823"/>
      </w:tblGrid>
      <w:tr w:rsidR="00541992" w:rsidRPr="00EA757B" w14:paraId="3F07C2C1" w14:textId="77777777" w:rsidTr="00C321EA">
        <w:trPr>
          <w:trHeight w:val="656"/>
          <w:jc w:val="center"/>
        </w:trPr>
        <w:tc>
          <w:tcPr>
            <w:tcW w:w="786" w:type="dxa"/>
          </w:tcPr>
          <w:p w14:paraId="53A3A927" w14:textId="77777777" w:rsidR="00541992" w:rsidRPr="00EA757B" w:rsidRDefault="00541992" w:rsidP="00C321EA">
            <w:pPr>
              <w:jc w:val="both"/>
              <w:rPr>
                <w:rFonts w:ascii="Arial Narrow" w:eastAsia="Arial Narrow" w:hAnsi="Arial Narrow" w:cs="Arial Narrow"/>
                <w:b/>
                <w:sz w:val="24"/>
                <w:szCs w:val="24"/>
              </w:rPr>
            </w:pPr>
          </w:p>
        </w:tc>
        <w:tc>
          <w:tcPr>
            <w:tcW w:w="2328" w:type="dxa"/>
          </w:tcPr>
          <w:p w14:paraId="489D2EE9"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Nombre y Apellidos</w:t>
            </w:r>
          </w:p>
        </w:tc>
        <w:tc>
          <w:tcPr>
            <w:tcW w:w="1747" w:type="dxa"/>
          </w:tcPr>
          <w:p w14:paraId="511D7025"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Cedula de Ciudadanía</w:t>
            </w:r>
          </w:p>
        </w:tc>
        <w:tc>
          <w:tcPr>
            <w:tcW w:w="1688" w:type="dxa"/>
          </w:tcPr>
          <w:p w14:paraId="71640A90"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Dirección</w:t>
            </w:r>
          </w:p>
        </w:tc>
        <w:tc>
          <w:tcPr>
            <w:tcW w:w="1556" w:type="dxa"/>
          </w:tcPr>
          <w:p w14:paraId="25F62F53"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Teléfono</w:t>
            </w:r>
          </w:p>
        </w:tc>
        <w:tc>
          <w:tcPr>
            <w:tcW w:w="1833" w:type="dxa"/>
          </w:tcPr>
          <w:p w14:paraId="7082441D"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 xml:space="preserve">Correo Electrónico </w:t>
            </w:r>
          </w:p>
        </w:tc>
        <w:tc>
          <w:tcPr>
            <w:tcW w:w="1823" w:type="dxa"/>
          </w:tcPr>
          <w:p w14:paraId="507BF8E1"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Firma</w:t>
            </w:r>
          </w:p>
        </w:tc>
      </w:tr>
      <w:tr w:rsidR="00541992" w:rsidRPr="00EA757B" w14:paraId="0834030F" w14:textId="77777777" w:rsidTr="00541992">
        <w:trPr>
          <w:trHeight w:val="580"/>
          <w:jc w:val="center"/>
        </w:trPr>
        <w:tc>
          <w:tcPr>
            <w:tcW w:w="786" w:type="dxa"/>
          </w:tcPr>
          <w:p w14:paraId="20E1F158"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No. 1</w:t>
            </w:r>
          </w:p>
        </w:tc>
        <w:tc>
          <w:tcPr>
            <w:tcW w:w="2328" w:type="dxa"/>
          </w:tcPr>
          <w:p w14:paraId="227B0B99" w14:textId="77777777" w:rsidR="00541992" w:rsidRPr="00EA757B" w:rsidRDefault="00541992" w:rsidP="00C321EA">
            <w:pPr>
              <w:jc w:val="both"/>
              <w:rPr>
                <w:rFonts w:ascii="Arial Narrow" w:eastAsia="Arial Narrow" w:hAnsi="Arial Narrow" w:cs="Arial Narrow"/>
                <w:sz w:val="24"/>
                <w:szCs w:val="24"/>
              </w:rPr>
            </w:pPr>
          </w:p>
        </w:tc>
        <w:tc>
          <w:tcPr>
            <w:tcW w:w="1747" w:type="dxa"/>
          </w:tcPr>
          <w:p w14:paraId="6578B8B5" w14:textId="77777777" w:rsidR="00541992" w:rsidRPr="00EA757B" w:rsidRDefault="00541992" w:rsidP="00C321EA">
            <w:pPr>
              <w:jc w:val="both"/>
              <w:rPr>
                <w:rFonts w:ascii="Arial Narrow" w:eastAsia="Arial Narrow" w:hAnsi="Arial Narrow" w:cs="Arial Narrow"/>
                <w:sz w:val="24"/>
                <w:szCs w:val="24"/>
              </w:rPr>
            </w:pPr>
          </w:p>
        </w:tc>
        <w:tc>
          <w:tcPr>
            <w:tcW w:w="1688" w:type="dxa"/>
          </w:tcPr>
          <w:p w14:paraId="6352E692" w14:textId="77777777" w:rsidR="00541992" w:rsidRPr="00EA757B" w:rsidRDefault="00541992" w:rsidP="00C321EA">
            <w:pPr>
              <w:jc w:val="both"/>
              <w:rPr>
                <w:rFonts w:ascii="Arial Narrow" w:eastAsia="Arial Narrow" w:hAnsi="Arial Narrow" w:cs="Arial Narrow"/>
                <w:sz w:val="24"/>
                <w:szCs w:val="24"/>
              </w:rPr>
            </w:pPr>
          </w:p>
        </w:tc>
        <w:tc>
          <w:tcPr>
            <w:tcW w:w="1556" w:type="dxa"/>
          </w:tcPr>
          <w:p w14:paraId="7E6461AD" w14:textId="77777777" w:rsidR="00541992" w:rsidRPr="00EA757B" w:rsidRDefault="00541992" w:rsidP="00C321EA">
            <w:pPr>
              <w:jc w:val="both"/>
              <w:rPr>
                <w:rFonts w:ascii="Arial Narrow" w:eastAsia="Arial Narrow" w:hAnsi="Arial Narrow" w:cs="Arial Narrow"/>
                <w:sz w:val="24"/>
                <w:szCs w:val="24"/>
              </w:rPr>
            </w:pPr>
          </w:p>
        </w:tc>
        <w:tc>
          <w:tcPr>
            <w:tcW w:w="1833" w:type="dxa"/>
          </w:tcPr>
          <w:p w14:paraId="6C04269A" w14:textId="77777777" w:rsidR="00541992" w:rsidRPr="00EA757B" w:rsidRDefault="00541992" w:rsidP="00C321EA">
            <w:pPr>
              <w:jc w:val="both"/>
              <w:rPr>
                <w:rFonts w:ascii="Arial Narrow" w:eastAsia="Arial Narrow" w:hAnsi="Arial Narrow" w:cs="Arial Narrow"/>
                <w:sz w:val="24"/>
                <w:szCs w:val="24"/>
              </w:rPr>
            </w:pPr>
          </w:p>
        </w:tc>
        <w:tc>
          <w:tcPr>
            <w:tcW w:w="1823" w:type="dxa"/>
          </w:tcPr>
          <w:p w14:paraId="7649CC6A" w14:textId="77777777" w:rsidR="00541992" w:rsidRPr="00EA757B" w:rsidRDefault="00541992" w:rsidP="00C321EA">
            <w:pPr>
              <w:jc w:val="both"/>
              <w:rPr>
                <w:rFonts w:ascii="Arial Narrow" w:eastAsia="Arial Narrow" w:hAnsi="Arial Narrow" w:cs="Arial Narrow"/>
                <w:sz w:val="24"/>
                <w:szCs w:val="24"/>
              </w:rPr>
            </w:pPr>
          </w:p>
        </w:tc>
      </w:tr>
      <w:tr w:rsidR="00541992" w:rsidRPr="00EA757B" w14:paraId="12CE4459" w14:textId="77777777" w:rsidTr="00C321EA">
        <w:trPr>
          <w:jc w:val="center"/>
        </w:trPr>
        <w:tc>
          <w:tcPr>
            <w:tcW w:w="786" w:type="dxa"/>
          </w:tcPr>
          <w:p w14:paraId="3D74C54D"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No. 2</w:t>
            </w:r>
          </w:p>
        </w:tc>
        <w:tc>
          <w:tcPr>
            <w:tcW w:w="2328" w:type="dxa"/>
          </w:tcPr>
          <w:p w14:paraId="3F8293E2" w14:textId="77777777" w:rsidR="00541992" w:rsidRPr="00EA757B" w:rsidRDefault="00541992" w:rsidP="00C321EA">
            <w:pPr>
              <w:jc w:val="both"/>
              <w:rPr>
                <w:rFonts w:ascii="Arial Narrow" w:eastAsia="Arial Narrow" w:hAnsi="Arial Narrow" w:cs="Arial Narrow"/>
                <w:sz w:val="24"/>
                <w:szCs w:val="24"/>
              </w:rPr>
            </w:pPr>
          </w:p>
        </w:tc>
        <w:tc>
          <w:tcPr>
            <w:tcW w:w="1747" w:type="dxa"/>
          </w:tcPr>
          <w:p w14:paraId="0F702A09" w14:textId="77777777" w:rsidR="00541992" w:rsidRPr="00EA757B" w:rsidRDefault="00541992" w:rsidP="00C321EA">
            <w:pPr>
              <w:jc w:val="both"/>
              <w:rPr>
                <w:rFonts w:ascii="Arial Narrow" w:eastAsia="Arial Narrow" w:hAnsi="Arial Narrow" w:cs="Arial Narrow"/>
                <w:sz w:val="24"/>
                <w:szCs w:val="24"/>
              </w:rPr>
            </w:pPr>
          </w:p>
        </w:tc>
        <w:tc>
          <w:tcPr>
            <w:tcW w:w="1688" w:type="dxa"/>
          </w:tcPr>
          <w:p w14:paraId="5D094215" w14:textId="77777777" w:rsidR="00541992" w:rsidRPr="00EA757B" w:rsidRDefault="00541992" w:rsidP="00C321EA">
            <w:pPr>
              <w:jc w:val="both"/>
              <w:rPr>
                <w:rFonts w:ascii="Arial Narrow" w:eastAsia="Arial Narrow" w:hAnsi="Arial Narrow" w:cs="Arial Narrow"/>
                <w:sz w:val="24"/>
                <w:szCs w:val="24"/>
              </w:rPr>
            </w:pPr>
          </w:p>
        </w:tc>
        <w:tc>
          <w:tcPr>
            <w:tcW w:w="1556" w:type="dxa"/>
          </w:tcPr>
          <w:p w14:paraId="4738FCEA" w14:textId="77777777" w:rsidR="00541992" w:rsidRPr="00EA757B" w:rsidRDefault="00541992" w:rsidP="00C321EA">
            <w:pPr>
              <w:jc w:val="both"/>
              <w:rPr>
                <w:rFonts w:ascii="Arial Narrow" w:eastAsia="Arial Narrow" w:hAnsi="Arial Narrow" w:cs="Arial Narrow"/>
                <w:sz w:val="24"/>
                <w:szCs w:val="24"/>
              </w:rPr>
            </w:pPr>
          </w:p>
        </w:tc>
        <w:tc>
          <w:tcPr>
            <w:tcW w:w="1833" w:type="dxa"/>
          </w:tcPr>
          <w:p w14:paraId="704B7C50" w14:textId="77777777" w:rsidR="00541992" w:rsidRPr="00EA757B" w:rsidRDefault="00541992" w:rsidP="00C321EA">
            <w:pPr>
              <w:jc w:val="both"/>
              <w:rPr>
                <w:rFonts w:ascii="Arial Narrow" w:eastAsia="Arial Narrow" w:hAnsi="Arial Narrow" w:cs="Arial Narrow"/>
                <w:sz w:val="24"/>
                <w:szCs w:val="24"/>
              </w:rPr>
            </w:pPr>
          </w:p>
        </w:tc>
        <w:tc>
          <w:tcPr>
            <w:tcW w:w="1823" w:type="dxa"/>
          </w:tcPr>
          <w:p w14:paraId="1AED0B11" w14:textId="77777777" w:rsidR="00541992" w:rsidRPr="00EA757B" w:rsidRDefault="00541992" w:rsidP="00C321EA">
            <w:pPr>
              <w:jc w:val="both"/>
              <w:rPr>
                <w:rFonts w:ascii="Arial Narrow" w:eastAsia="Arial Narrow" w:hAnsi="Arial Narrow" w:cs="Arial Narrow"/>
                <w:sz w:val="24"/>
                <w:szCs w:val="24"/>
              </w:rPr>
            </w:pPr>
          </w:p>
        </w:tc>
      </w:tr>
      <w:tr w:rsidR="00541992" w:rsidRPr="00EA757B" w14:paraId="4E0F26B3" w14:textId="77777777" w:rsidTr="00541992">
        <w:trPr>
          <w:trHeight w:val="602"/>
          <w:jc w:val="center"/>
        </w:trPr>
        <w:tc>
          <w:tcPr>
            <w:tcW w:w="786" w:type="dxa"/>
          </w:tcPr>
          <w:p w14:paraId="1C8578B0" w14:textId="77777777" w:rsidR="00541992" w:rsidRPr="00EA757B" w:rsidRDefault="00541992" w:rsidP="00C321EA">
            <w:pPr>
              <w:jc w:val="both"/>
              <w:rPr>
                <w:rFonts w:ascii="Arial Narrow" w:eastAsia="Arial Narrow" w:hAnsi="Arial Narrow" w:cs="Arial Narrow"/>
                <w:b/>
                <w:sz w:val="24"/>
                <w:szCs w:val="24"/>
              </w:rPr>
            </w:pPr>
            <w:r w:rsidRPr="00EA757B">
              <w:rPr>
                <w:rFonts w:ascii="Arial Narrow" w:eastAsia="Arial Narrow" w:hAnsi="Arial Narrow" w:cs="Arial Narrow"/>
                <w:b/>
                <w:sz w:val="24"/>
                <w:szCs w:val="24"/>
              </w:rPr>
              <w:t>Joven No. 3</w:t>
            </w:r>
          </w:p>
        </w:tc>
        <w:tc>
          <w:tcPr>
            <w:tcW w:w="2328" w:type="dxa"/>
          </w:tcPr>
          <w:p w14:paraId="3FCAE24B" w14:textId="77777777" w:rsidR="00541992" w:rsidRPr="00EA757B" w:rsidRDefault="00541992" w:rsidP="00C321EA">
            <w:pPr>
              <w:jc w:val="both"/>
              <w:rPr>
                <w:rFonts w:ascii="Arial Narrow" w:eastAsia="Arial Narrow" w:hAnsi="Arial Narrow" w:cs="Arial Narrow"/>
                <w:sz w:val="24"/>
                <w:szCs w:val="24"/>
              </w:rPr>
            </w:pPr>
          </w:p>
        </w:tc>
        <w:tc>
          <w:tcPr>
            <w:tcW w:w="1747" w:type="dxa"/>
          </w:tcPr>
          <w:p w14:paraId="65583042" w14:textId="77777777" w:rsidR="00541992" w:rsidRPr="00EA757B" w:rsidRDefault="00541992" w:rsidP="00C321EA">
            <w:pPr>
              <w:jc w:val="both"/>
              <w:rPr>
                <w:rFonts w:ascii="Arial Narrow" w:eastAsia="Arial Narrow" w:hAnsi="Arial Narrow" w:cs="Arial Narrow"/>
                <w:sz w:val="24"/>
                <w:szCs w:val="24"/>
              </w:rPr>
            </w:pPr>
          </w:p>
        </w:tc>
        <w:tc>
          <w:tcPr>
            <w:tcW w:w="1688" w:type="dxa"/>
          </w:tcPr>
          <w:p w14:paraId="03404C17" w14:textId="77777777" w:rsidR="00541992" w:rsidRPr="00EA757B" w:rsidRDefault="00541992" w:rsidP="00C321EA">
            <w:pPr>
              <w:jc w:val="both"/>
              <w:rPr>
                <w:rFonts w:ascii="Arial Narrow" w:eastAsia="Arial Narrow" w:hAnsi="Arial Narrow" w:cs="Arial Narrow"/>
                <w:sz w:val="24"/>
                <w:szCs w:val="24"/>
              </w:rPr>
            </w:pPr>
          </w:p>
        </w:tc>
        <w:tc>
          <w:tcPr>
            <w:tcW w:w="1556" w:type="dxa"/>
          </w:tcPr>
          <w:p w14:paraId="54B3C859" w14:textId="77777777" w:rsidR="00541992" w:rsidRPr="00EA757B" w:rsidRDefault="00541992" w:rsidP="00C321EA">
            <w:pPr>
              <w:jc w:val="both"/>
              <w:rPr>
                <w:rFonts w:ascii="Arial Narrow" w:eastAsia="Arial Narrow" w:hAnsi="Arial Narrow" w:cs="Arial Narrow"/>
                <w:sz w:val="24"/>
                <w:szCs w:val="24"/>
              </w:rPr>
            </w:pPr>
          </w:p>
        </w:tc>
        <w:tc>
          <w:tcPr>
            <w:tcW w:w="1833" w:type="dxa"/>
          </w:tcPr>
          <w:p w14:paraId="1019EECE" w14:textId="77777777" w:rsidR="00541992" w:rsidRPr="00EA757B" w:rsidRDefault="00541992" w:rsidP="00C321EA">
            <w:pPr>
              <w:jc w:val="both"/>
              <w:rPr>
                <w:rFonts w:ascii="Arial Narrow" w:eastAsia="Arial Narrow" w:hAnsi="Arial Narrow" w:cs="Arial Narrow"/>
                <w:sz w:val="24"/>
                <w:szCs w:val="24"/>
              </w:rPr>
            </w:pPr>
          </w:p>
        </w:tc>
        <w:tc>
          <w:tcPr>
            <w:tcW w:w="1823" w:type="dxa"/>
          </w:tcPr>
          <w:p w14:paraId="4DEB119A" w14:textId="77777777" w:rsidR="00541992" w:rsidRPr="00EA757B" w:rsidRDefault="00541992" w:rsidP="00C321EA">
            <w:pPr>
              <w:jc w:val="both"/>
              <w:rPr>
                <w:rFonts w:ascii="Arial Narrow" w:eastAsia="Arial Narrow" w:hAnsi="Arial Narrow" w:cs="Arial Narrow"/>
                <w:sz w:val="24"/>
                <w:szCs w:val="24"/>
              </w:rPr>
            </w:pPr>
          </w:p>
        </w:tc>
      </w:tr>
    </w:tbl>
    <w:p w14:paraId="364C6E21" w14:textId="77777777" w:rsidR="00541992" w:rsidRPr="00EA757B" w:rsidRDefault="00541992" w:rsidP="00541992">
      <w:pPr>
        <w:autoSpaceDE w:val="0"/>
        <w:autoSpaceDN w:val="0"/>
        <w:adjustRightInd w:val="0"/>
        <w:spacing w:after="0" w:line="276" w:lineRule="auto"/>
        <w:jc w:val="both"/>
        <w:rPr>
          <w:rFonts w:ascii="Arial Narrow" w:hAnsi="Arial Narrow" w:cs="Calibri"/>
          <w:b/>
          <w:iCs/>
          <w:color w:val="000000"/>
          <w:sz w:val="24"/>
          <w:szCs w:val="24"/>
        </w:rPr>
      </w:pPr>
    </w:p>
    <w:p w14:paraId="4B06FC43" w14:textId="77777777" w:rsidR="00541992" w:rsidRPr="00541992" w:rsidRDefault="00541992" w:rsidP="00541992">
      <w:pPr>
        <w:rPr>
          <w:lang w:val="es-CO"/>
        </w:rPr>
      </w:pPr>
    </w:p>
    <w:sectPr w:rsidR="00541992" w:rsidRPr="00541992" w:rsidSect="00A127F5">
      <w:headerReference w:type="default" r:id="rId7"/>
      <w:pgSz w:w="12240" w:h="15840" w:code="119"/>
      <w:pgMar w:top="2552" w:right="118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630D" w14:textId="77777777" w:rsidR="0001390D" w:rsidRDefault="0001390D" w:rsidP="001D10C9">
      <w:pPr>
        <w:spacing w:after="0" w:line="240" w:lineRule="auto"/>
      </w:pPr>
      <w:r>
        <w:separator/>
      </w:r>
    </w:p>
  </w:endnote>
  <w:endnote w:type="continuationSeparator" w:id="0">
    <w:p w14:paraId="67E2F032" w14:textId="77777777" w:rsidR="0001390D" w:rsidRDefault="0001390D" w:rsidP="001D1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B5601" w14:textId="77777777" w:rsidR="0001390D" w:rsidRDefault="0001390D" w:rsidP="001D10C9">
      <w:pPr>
        <w:spacing w:after="0" w:line="240" w:lineRule="auto"/>
      </w:pPr>
      <w:r>
        <w:separator/>
      </w:r>
    </w:p>
  </w:footnote>
  <w:footnote w:type="continuationSeparator" w:id="0">
    <w:p w14:paraId="76E5FD7F" w14:textId="77777777" w:rsidR="0001390D" w:rsidRDefault="0001390D" w:rsidP="001D1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AAFA" w14:textId="190FC767" w:rsidR="001D10C9" w:rsidRDefault="0001390D">
    <w:pPr>
      <w:pStyle w:val="Encabezado"/>
    </w:pPr>
    <w:r>
      <w:rPr>
        <w:noProof/>
      </w:rPr>
      <w:pict w14:anchorId="5C4E4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56.55pt;margin-top:-37.5pt;width:616.35pt;height:800.5pt;z-index:-251658752;mso-wrap-edited:f;mso-width-percent:0;mso-height-percent:0;mso-position-horizontal-relative:text;mso-position-vertical-relative:text;mso-width-percent:0;mso-height-percent:0;mso-width-relative:page;mso-height-relative:page">
          <v:imagedata r:id="rId1" o:title="hoja membrete jovenes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063F"/>
    <w:multiLevelType w:val="hybridMultilevel"/>
    <w:tmpl w:val="AE50EA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B245EB"/>
    <w:multiLevelType w:val="hybridMultilevel"/>
    <w:tmpl w:val="39980A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24281C"/>
    <w:multiLevelType w:val="multilevel"/>
    <w:tmpl w:val="FC3042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88C1B09"/>
    <w:multiLevelType w:val="hybridMultilevel"/>
    <w:tmpl w:val="9CCE2D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6753F5"/>
    <w:multiLevelType w:val="multilevel"/>
    <w:tmpl w:val="9F505F22"/>
    <w:lvl w:ilvl="0">
      <w:start w:val="1"/>
      <w:numFmt w:val="decimal"/>
      <w:lvlText w:val="%1."/>
      <w:lvlJc w:val="left"/>
      <w:pPr>
        <w:ind w:left="360" w:hanging="360"/>
      </w:pPr>
      <w:rPr>
        <w:b/>
        <w:bCs/>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5" w15:restartNumberingAfterBreak="0">
    <w:nsid w:val="3D3C5E89"/>
    <w:multiLevelType w:val="multilevel"/>
    <w:tmpl w:val="011CD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2096EA6"/>
    <w:multiLevelType w:val="multilevel"/>
    <w:tmpl w:val="BAF27EC4"/>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5D4758F"/>
    <w:multiLevelType w:val="hybridMultilevel"/>
    <w:tmpl w:val="8C644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8CB767F"/>
    <w:multiLevelType w:val="hybridMultilevel"/>
    <w:tmpl w:val="B88423E8"/>
    <w:lvl w:ilvl="0" w:tplc="3C4EEE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A2274DD"/>
    <w:multiLevelType w:val="multilevel"/>
    <w:tmpl w:val="46BE3F08"/>
    <w:lvl w:ilvl="0">
      <w:start w:val="1"/>
      <w:numFmt w:val="decimal"/>
      <w:lvlText w:val="%1."/>
      <w:lvlJc w:val="left"/>
      <w:pPr>
        <w:ind w:left="720" w:hanging="360"/>
      </w:pPr>
      <w:rPr>
        <w:rFonts w:ascii="Arial" w:eastAsia="Arial" w:hAnsi="Arial" w:cs="Arial"/>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92C9C4D"/>
    <w:multiLevelType w:val="hybridMultilevel"/>
    <w:tmpl w:val="763A38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6932540">
    <w:abstractNumId w:val="4"/>
  </w:num>
  <w:num w:numId="2" w16cid:durableId="1565683481">
    <w:abstractNumId w:val="8"/>
  </w:num>
  <w:num w:numId="3" w16cid:durableId="281108808">
    <w:abstractNumId w:val="9"/>
  </w:num>
  <w:num w:numId="4" w16cid:durableId="138614524">
    <w:abstractNumId w:val="5"/>
  </w:num>
  <w:num w:numId="5" w16cid:durableId="209727342">
    <w:abstractNumId w:val="2"/>
  </w:num>
  <w:num w:numId="6" w16cid:durableId="1089471289">
    <w:abstractNumId w:val="6"/>
  </w:num>
  <w:num w:numId="7" w16cid:durableId="1320229222">
    <w:abstractNumId w:val="7"/>
  </w:num>
  <w:num w:numId="8" w16cid:durableId="995377796">
    <w:abstractNumId w:val="0"/>
  </w:num>
  <w:num w:numId="9" w16cid:durableId="36859116">
    <w:abstractNumId w:val="3"/>
  </w:num>
  <w:num w:numId="10" w16cid:durableId="1817986843">
    <w:abstractNumId w:val="10"/>
  </w:num>
  <w:num w:numId="11" w16cid:durableId="470824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554"/>
    <w:rsid w:val="00007DDA"/>
    <w:rsid w:val="0001390D"/>
    <w:rsid w:val="00062F70"/>
    <w:rsid w:val="00093AB5"/>
    <w:rsid w:val="000A0A3B"/>
    <w:rsid w:val="00155689"/>
    <w:rsid w:val="001D10C9"/>
    <w:rsid w:val="001E1131"/>
    <w:rsid w:val="002512E3"/>
    <w:rsid w:val="002601BA"/>
    <w:rsid w:val="00343568"/>
    <w:rsid w:val="003807B6"/>
    <w:rsid w:val="003C00CA"/>
    <w:rsid w:val="003E4298"/>
    <w:rsid w:val="004936F0"/>
    <w:rsid w:val="00541992"/>
    <w:rsid w:val="006F616B"/>
    <w:rsid w:val="00730396"/>
    <w:rsid w:val="00733BB1"/>
    <w:rsid w:val="007465C5"/>
    <w:rsid w:val="00777362"/>
    <w:rsid w:val="0082118D"/>
    <w:rsid w:val="0090579E"/>
    <w:rsid w:val="009803AC"/>
    <w:rsid w:val="009F0C1A"/>
    <w:rsid w:val="00A127F5"/>
    <w:rsid w:val="00A16738"/>
    <w:rsid w:val="00A17009"/>
    <w:rsid w:val="00A509AF"/>
    <w:rsid w:val="00B54AB1"/>
    <w:rsid w:val="00B748AB"/>
    <w:rsid w:val="00B9649F"/>
    <w:rsid w:val="00BD7F6B"/>
    <w:rsid w:val="00BF7F6D"/>
    <w:rsid w:val="00C17554"/>
    <w:rsid w:val="00C90CE5"/>
    <w:rsid w:val="00CD2993"/>
    <w:rsid w:val="00CE0843"/>
    <w:rsid w:val="00D4455B"/>
    <w:rsid w:val="00D863CB"/>
    <w:rsid w:val="00D978A8"/>
    <w:rsid w:val="00DB6520"/>
    <w:rsid w:val="00DB7CAE"/>
    <w:rsid w:val="00DE6D0B"/>
    <w:rsid w:val="00E33ABA"/>
    <w:rsid w:val="00E564FC"/>
    <w:rsid w:val="00EF012B"/>
    <w:rsid w:val="00F23775"/>
    <w:rsid w:val="00F51EBC"/>
    <w:rsid w:val="00FA5C7C"/>
    <w:rsid w:val="00FD08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7EF99"/>
  <w15:chartTrackingRefBased/>
  <w15:docId w15:val="{D154DDB1-DF71-4402-BE6D-8E4AF47E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7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17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1755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1755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1755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175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75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75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75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55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1755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1755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1755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1755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175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75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75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7554"/>
    <w:rPr>
      <w:rFonts w:eastAsiaTheme="majorEastAsia" w:cstheme="majorBidi"/>
      <w:color w:val="272727" w:themeColor="text1" w:themeTint="D8"/>
    </w:rPr>
  </w:style>
  <w:style w:type="paragraph" w:styleId="Ttulo">
    <w:name w:val="Title"/>
    <w:basedOn w:val="Normal"/>
    <w:next w:val="Normal"/>
    <w:link w:val="TtuloCar"/>
    <w:uiPriority w:val="10"/>
    <w:qFormat/>
    <w:rsid w:val="00C175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75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75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75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7554"/>
    <w:pPr>
      <w:spacing w:before="160"/>
      <w:jc w:val="center"/>
    </w:pPr>
    <w:rPr>
      <w:i/>
      <w:iCs/>
      <w:color w:val="404040" w:themeColor="text1" w:themeTint="BF"/>
    </w:rPr>
  </w:style>
  <w:style w:type="character" w:customStyle="1" w:styleId="CitaCar">
    <w:name w:val="Cita Car"/>
    <w:basedOn w:val="Fuentedeprrafopredeter"/>
    <w:link w:val="Cita"/>
    <w:uiPriority w:val="29"/>
    <w:rsid w:val="00C17554"/>
    <w:rPr>
      <w:i/>
      <w:iCs/>
      <w:color w:val="404040" w:themeColor="text1" w:themeTint="BF"/>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Bullets,Chulito,Num Bullet 1,lp1,Bullet Number,lp11,HOJ"/>
    <w:basedOn w:val="Normal"/>
    <w:qFormat/>
    <w:rsid w:val="00C17554"/>
    <w:pPr>
      <w:ind w:left="720"/>
      <w:contextualSpacing/>
    </w:pPr>
  </w:style>
  <w:style w:type="character" w:styleId="nfasisintenso">
    <w:name w:val="Intense Emphasis"/>
    <w:basedOn w:val="Fuentedeprrafopredeter"/>
    <w:uiPriority w:val="21"/>
    <w:qFormat/>
    <w:rsid w:val="00C17554"/>
    <w:rPr>
      <w:i/>
      <w:iCs/>
      <w:color w:val="2F5496" w:themeColor="accent1" w:themeShade="BF"/>
    </w:rPr>
  </w:style>
  <w:style w:type="paragraph" w:styleId="Citadestacada">
    <w:name w:val="Intense Quote"/>
    <w:basedOn w:val="Normal"/>
    <w:next w:val="Normal"/>
    <w:link w:val="CitadestacadaCar"/>
    <w:uiPriority w:val="30"/>
    <w:qFormat/>
    <w:rsid w:val="00C17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17554"/>
    <w:rPr>
      <w:i/>
      <w:iCs/>
      <w:color w:val="2F5496" w:themeColor="accent1" w:themeShade="BF"/>
    </w:rPr>
  </w:style>
  <w:style w:type="character" w:styleId="Referenciaintensa">
    <w:name w:val="Intense Reference"/>
    <w:basedOn w:val="Fuentedeprrafopredeter"/>
    <w:uiPriority w:val="32"/>
    <w:qFormat/>
    <w:rsid w:val="00C17554"/>
    <w:rPr>
      <w:b/>
      <w:bCs/>
      <w:smallCaps/>
      <w:color w:val="2F5496" w:themeColor="accent1" w:themeShade="BF"/>
      <w:spacing w:val="5"/>
    </w:rPr>
  </w:style>
  <w:style w:type="paragraph" w:styleId="Encabezado">
    <w:name w:val="header"/>
    <w:basedOn w:val="Normal"/>
    <w:link w:val="EncabezadoCar"/>
    <w:uiPriority w:val="99"/>
    <w:unhideWhenUsed/>
    <w:rsid w:val="001D1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D10C9"/>
  </w:style>
  <w:style w:type="paragraph" w:styleId="Piedepgina">
    <w:name w:val="footer"/>
    <w:basedOn w:val="Normal"/>
    <w:link w:val="PiedepginaCar"/>
    <w:uiPriority w:val="99"/>
    <w:unhideWhenUsed/>
    <w:rsid w:val="001D1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D10C9"/>
  </w:style>
  <w:style w:type="paragraph" w:styleId="Sinespaciado">
    <w:name w:val="No Spacing"/>
    <w:uiPriority w:val="1"/>
    <w:qFormat/>
    <w:rsid w:val="00DE6D0B"/>
    <w:pPr>
      <w:spacing w:after="0" w:line="240" w:lineRule="auto"/>
    </w:pPr>
    <w:rPr>
      <w:lang w:val="es-CO"/>
    </w:rPr>
  </w:style>
  <w:style w:type="paragraph" w:styleId="Revisin">
    <w:name w:val="Revision"/>
    <w:hidden/>
    <w:uiPriority w:val="99"/>
    <w:semiHidden/>
    <w:rsid w:val="002601BA"/>
    <w:pPr>
      <w:spacing w:after="0" w:line="240" w:lineRule="auto"/>
    </w:pPr>
  </w:style>
  <w:style w:type="character" w:styleId="Refdecomentario">
    <w:name w:val="annotation reference"/>
    <w:basedOn w:val="Fuentedeprrafopredeter"/>
    <w:uiPriority w:val="99"/>
    <w:semiHidden/>
    <w:unhideWhenUsed/>
    <w:rsid w:val="00062F70"/>
    <w:rPr>
      <w:sz w:val="16"/>
      <w:szCs w:val="16"/>
    </w:rPr>
  </w:style>
  <w:style w:type="paragraph" w:styleId="Textocomentario">
    <w:name w:val="annotation text"/>
    <w:basedOn w:val="Normal"/>
    <w:link w:val="TextocomentarioCar"/>
    <w:uiPriority w:val="99"/>
    <w:semiHidden/>
    <w:unhideWhenUsed/>
    <w:rsid w:val="00062F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2F70"/>
    <w:rPr>
      <w:sz w:val="20"/>
      <w:szCs w:val="20"/>
    </w:rPr>
  </w:style>
  <w:style w:type="paragraph" w:styleId="Asuntodelcomentario">
    <w:name w:val="annotation subject"/>
    <w:basedOn w:val="Textocomentario"/>
    <w:next w:val="Textocomentario"/>
    <w:link w:val="AsuntodelcomentarioCar"/>
    <w:uiPriority w:val="99"/>
    <w:semiHidden/>
    <w:unhideWhenUsed/>
    <w:rsid w:val="00062F70"/>
    <w:rPr>
      <w:b/>
      <w:bCs/>
    </w:rPr>
  </w:style>
  <w:style w:type="character" w:customStyle="1" w:styleId="AsuntodelcomentarioCar">
    <w:name w:val="Asunto del comentario Car"/>
    <w:basedOn w:val="TextocomentarioCar"/>
    <w:link w:val="Asuntodelcomentario"/>
    <w:uiPriority w:val="99"/>
    <w:semiHidden/>
    <w:rsid w:val="00062F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6420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César Guzmán</cp:lastModifiedBy>
  <cp:revision>2</cp:revision>
  <cp:lastPrinted>2025-10-09T00:47:00Z</cp:lastPrinted>
  <dcterms:created xsi:type="dcterms:W3CDTF">2025-11-14T21:35:00Z</dcterms:created>
  <dcterms:modified xsi:type="dcterms:W3CDTF">2025-11-14T21:35:00Z</dcterms:modified>
</cp:coreProperties>
</file>